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HelixChem / Northbond: Preliminary Competitive-Effects Analysis</w:t>
      </w:r>
    </w:p>
    <w:p>
      <w:pPr>
        <w:jc w:val="center"/>
      </w:pPr>
      <w:r>
        <w:rPr>
          <w:b/>
          <w:sz w:val="22"/>
        </w:rPr>
        <w:t>Synthetic horizontal-merger test case using real statutes, real precedent, and explicitly hypothetical market facts</w:t>
      </w:r>
    </w:p>
    <w:p>
      <w:pPr>
        <w:jc w:val="center"/>
      </w:pPr>
      <w:r>
        <w:rPr>
          <w:i/>
          <w:sz w:val="18"/>
        </w:rPr>
        <w:t>Prepared 2026-09-27 | Status: preliminary, evidence-gated</w:t>
      </w:r>
    </w:p>
    <w:p/>
    <w:p>
      <w:pPr>
        <w:pStyle w:val="Heading1"/>
      </w:pPr>
      <w:r>
        <w:t>1. Scope and evidentiary boundary</w:t>
      </w:r>
    </w:p>
    <w:p>
      <w:r>
        <w:t>This is a synthetic testing artifact. HelixChem and Northbond are fictional firms. Their products, shares, customers, and efficiencies are hypothetical inputs created to test whether the analytical machinery closes. The statutes, agency guidelines, and cases cited below are real authorities. No statement about a real transaction is intended.</w:t>
      </w:r>
    </w:p>
    <w:p>
      <w:r>
        <w:rPr>
          <w:b/>
        </w:rPr>
        <w:t xml:space="preserve">FACT: </w:t>
      </w:r>
      <w:r>
        <w:t>The federal merger statute at issue is Clayton Act Section 7, 15 U.S.C. §18. Sherman Act Section 2 is reviewed as a boundary but is not the primary merger provision on these assumptions because no monopoly-power/monopolization facts are supplied.</w:t>
      </w:r>
    </w:p>
    <w:p>
      <w:r>
        <w:rPr>
          <w:b/>
        </w:rPr>
        <w:t xml:space="preserve">ASSUMPTION: </w:t>
      </w:r>
      <w:r>
        <w:t>The hypothetical transaction is a full acquisition of Northbond by HelixChem.</w:t>
      </w:r>
    </w:p>
    <w:p>
      <w:pPr>
        <w:pStyle w:val="Heading1"/>
      </w:pPr>
      <w:r>
        <w:t>2. Proposed relevant product market</w:t>
      </w:r>
    </w:p>
    <w:p>
      <w:r>
        <w:t>Candidate product market: U.S. sales of two-part, room-temperature-cure epoxy structural adhesives used for aerospace composite bonding.</w:t>
      </w:r>
    </w:p>
    <w:p>
      <w:r>
        <w:t>Reasoning supplied as hypothetical market evidence: aerospace OEMs and Tier-1 composite manufacturers are assumed to specify qualification and performance requirements around bond strength, cure profile, temperature range, and process compatibility; switching to film adhesives or methyl-methacrylate systems can require different processing and/or requalification; shipping costs are assumed small relative to product value. These are analytical assumptions, not observed evidence.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Question</w:t>
            </w:r>
          </w:p>
        </w:tc>
        <w:tc>
          <w:tcPr>
            <w:tcW w:type="dxa" w:w="3389"/>
            <w:vAlign w:val="center"/>
            <w:shd w:fill="D9E2F3"/>
          </w:tcPr>
          <w:p>
            <w:r/>
            <w:r>
              <w:rPr>
                <w:b/>
                <w:sz w:val="18"/>
              </w:rPr>
              <w:t>Hypothetical answer</w:t>
            </w:r>
          </w:p>
        </w:tc>
        <w:tc>
          <w:tcPr>
            <w:tcW w:type="dxa" w:w="3389"/>
            <w:vAlign w:val="center"/>
            <w:shd w:fill="D9E2F3"/>
          </w:tcPr>
          <w:p>
            <w:r/>
            <w:r>
              <w:rPr>
                <w:b/>
                <w:sz w:val="18"/>
              </w:rPr>
              <w:t>Inference</w:t>
            </w:r>
          </w:p>
        </w:tc>
      </w:tr>
      <w:tr>
        <w:tc>
          <w:tcPr>
            <w:tcW w:type="dxa" w:w="3389"/>
            <w:vAlign w:val="center"/>
          </w:tcPr>
          <w:p>
            <w:r/>
            <w:r>
              <w:rPr>
                <w:b w:val="0"/>
                <w:sz w:val="18"/>
              </w:rPr>
              <w:t>Substitutability</w:t>
            </w:r>
          </w:p>
        </w:tc>
        <w:tc>
          <w:tcPr>
            <w:tcW w:type="dxa" w:w="3389"/>
            <w:vAlign w:val="center"/>
          </w:tcPr>
          <w:p>
            <w:r/>
            <w:r>
              <w:rPr>
                <w:b w:val="0"/>
                <w:sz w:val="18"/>
              </w:rPr>
              <w:t>Customers can switch among the six named suppliers within the candidate market without re-qualification if technical requirements match.</w:t>
            </w:r>
          </w:p>
        </w:tc>
        <w:tc>
          <w:tcPr>
            <w:tcW w:type="dxa" w:w="3389"/>
            <w:vAlign w:val="center"/>
          </w:tcPr>
          <w:p>
            <w:r/>
            <w:r>
              <w:rPr>
                <w:b w:val="0"/>
                <w:sz w:val="18"/>
              </w:rPr>
              <w:t>Supports internal substitutability.</w:t>
            </w:r>
          </w:p>
        </w:tc>
      </w:tr>
      <w:tr>
        <w:tc>
          <w:tcPr>
            <w:tcW w:type="dxa" w:w="3389"/>
            <w:vAlign w:val="center"/>
          </w:tcPr>
          <w:p>
            <w:r/>
            <w:r>
              <w:rPr>
                <w:b w:val="0"/>
                <w:sz w:val="18"/>
              </w:rPr>
              <w:t>Outside products</w:t>
            </w:r>
          </w:p>
        </w:tc>
        <w:tc>
          <w:tcPr>
            <w:tcW w:type="dxa" w:w="3389"/>
            <w:vAlign w:val="center"/>
          </w:tcPr>
          <w:p>
            <w:r/>
            <w:r>
              <w:rPr>
                <w:b w:val="0"/>
                <w:sz w:val="18"/>
              </w:rPr>
              <w:t>Film adhesives and methyl-methacrylate systems have different processing/qualification characteristics in the hypothetical record.</w:t>
            </w:r>
          </w:p>
        </w:tc>
        <w:tc>
          <w:tcPr>
            <w:tcW w:type="dxa" w:w="3389"/>
            <w:vAlign w:val="center"/>
          </w:tcPr>
          <w:p>
            <w:r/>
            <w:r>
              <w:rPr>
                <w:b w:val="0"/>
                <w:sz w:val="18"/>
              </w:rPr>
              <w:t>Limits external substitutability.</w:t>
            </w:r>
          </w:p>
        </w:tc>
      </w:tr>
      <w:tr>
        <w:tc>
          <w:tcPr>
            <w:tcW w:type="dxa" w:w="3389"/>
            <w:vAlign w:val="center"/>
          </w:tcPr>
          <w:p>
            <w:r/>
            <w:r>
              <w:rPr>
                <w:b w:val="0"/>
                <w:sz w:val="18"/>
              </w:rPr>
              <w:t>Market boundary test</w:t>
            </w:r>
          </w:p>
        </w:tc>
        <w:tc>
          <w:tcPr>
            <w:tcW w:type="dxa" w:w="3389"/>
            <w:vAlign w:val="center"/>
          </w:tcPr>
          <w:p>
            <w:r/>
            <w:r>
              <w:rPr>
                <w:b w:val="0"/>
                <w:sz w:val="18"/>
              </w:rPr>
              <w:t>Broader market is considered as a countermodel rather than excluded by assertion.</w:t>
            </w:r>
          </w:p>
        </w:tc>
        <w:tc>
          <w:tcPr>
            <w:tcW w:type="dxa" w:w="3389"/>
            <w:vAlign w:val="center"/>
          </w:tcPr>
          <w:p>
            <w:r/>
            <w:r>
              <w:rPr>
                <w:b w:val="0"/>
                <w:sz w:val="18"/>
              </w:rPr>
              <w:t>Prevents circularity at the design stage.</w:t>
            </w:r>
          </w:p>
        </w:tc>
      </w:tr>
      <w:tr>
        <w:tc>
          <w:tcPr>
            <w:tcW w:type="dxa" w:w="3389"/>
            <w:vAlign w:val="center"/>
          </w:tcPr>
          <w:p>
            <w:r/>
            <w:r>
              <w:rPr>
                <w:b w:val="0"/>
                <w:sz w:val="18"/>
              </w:rPr>
              <w:t>Weakness</w:t>
            </w:r>
          </w:p>
        </w:tc>
        <w:tc>
          <w:tcPr>
            <w:tcW w:type="dxa" w:w="3389"/>
            <w:vAlign w:val="center"/>
          </w:tcPr>
          <w:p>
            <w:r/>
            <w:r>
              <w:rPr>
                <w:b w:val="0"/>
                <w:sz w:val="18"/>
              </w:rPr>
              <w:t>No actual customer switching study, tender data, or price-response evidence is available.</w:t>
            </w:r>
          </w:p>
        </w:tc>
        <w:tc>
          <w:tcPr>
            <w:tcW w:type="dxa" w:w="3389"/>
            <w:vAlign w:val="center"/>
          </w:tcPr>
          <w:p>
            <w:r/>
            <w:r>
              <w:rPr>
                <w:b w:val="0"/>
                <w:sz w:val="18"/>
              </w:rPr>
              <w:t>Market definition remains provisional.</w:t>
            </w:r>
          </w:p>
        </w:tc>
      </w:tr>
    </w:tbl>
    <w:p/>
    <w:p>
      <w:pPr>
        <w:pStyle w:val="Heading1"/>
      </w:pPr>
      <w:r>
        <w:t>3. Geographic market</w:t>
      </w:r>
    </w:p>
    <w:p>
      <w:r>
        <w:t>Candidate geographic market: United States. Rationale under the synthetic record: suppliers sell nationally, aerospace customers are geographically distributed, and the products are high-value relative to freight. Regional geographic markets are rejected only provisionally because the assumed supplier and customer networks are national. This remains an assumption until actual sales and customer data are tested.</w:t>
      </w:r>
    </w:p>
    <w:p>
      <w:pPr>
        <w:pStyle w:val="Heading1"/>
      </w:pPr>
      <w:r>
        <w:t>4. Market shares and HHI</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2F3"/>
          </w:tcPr>
          <w:p>
            <w:r/>
            <w:r>
              <w:rPr>
                <w:b/>
                <w:sz w:val="18"/>
              </w:rPr>
              <w:t>Firm</w:t>
            </w:r>
          </w:p>
        </w:tc>
        <w:tc>
          <w:tcPr>
            <w:tcW w:type="dxa" w:w="5083"/>
            <w:vAlign w:val="center"/>
            <w:shd w:fill="D9E2F3"/>
          </w:tcPr>
          <w:p>
            <w:r/>
            <w:r>
              <w:rPr>
                <w:b/>
                <w:sz w:val="18"/>
              </w:rPr>
              <w:t>Pre-merger share</w:t>
            </w:r>
          </w:p>
        </w:tc>
      </w:tr>
      <w:tr>
        <w:tc>
          <w:tcPr>
            <w:tcW w:type="dxa" w:w="5083"/>
            <w:vAlign w:val="center"/>
          </w:tcPr>
          <w:p>
            <w:r/>
            <w:r>
              <w:rPr>
                <w:b w:val="0"/>
                <w:sz w:val="18"/>
              </w:rPr>
              <w:t>HelixChem</w:t>
            </w:r>
          </w:p>
        </w:tc>
        <w:tc>
          <w:tcPr>
            <w:tcW w:type="dxa" w:w="5083"/>
            <w:vAlign w:val="center"/>
          </w:tcPr>
          <w:p>
            <w:r/>
            <w:r>
              <w:rPr>
                <w:b w:val="0"/>
                <w:sz w:val="18"/>
              </w:rPr>
              <w:t>27</w:t>
            </w:r>
          </w:p>
        </w:tc>
      </w:tr>
      <w:tr>
        <w:tc>
          <w:tcPr>
            <w:tcW w:type="dxa" w:w="5083"/>
            <w:vAlign w:val="center"/>
          </w:tcPr>
          <w:p>
            <w:r/>
            <w:r>
              <w:rPr>
                <w:b w:val="0"/>
                <w:sz w:val="18"/>
              </w:rPr>
              <w:t>Northbond</w:t>
            </w:r>
          </w:p>
        </w:tc>
        <w:tc>
          <w:tcPr>
            <w:tcW w:type="dxa" w:w="5083"/>
            <w:vAlign w:val="center"/>
          </w:tcPr>
          <w:p>
            <w:r/>
            <w:r>
              <w:rPr>
                <w:b w:val="0"/>
                <w:sz w:val="18"/>
              </w:rPr>
              <w:t>23</w:t>
            </w:r>
          </w:p>
        </w:tc>
      </w:tr>
      <w:tr>
        <w:tc>
          <w:tcPr>
            <w:tcW w:type="dxa" w:w="5083"/>
            <w:vAlign w:val="center"/>
          </w:tcPr>
          <w:p>
            <w:r/>
            <w:r>
              <w:rPr>
                <w:b w:val="0"/>
                <w:sz w:val="18"/>
              </w:rPr>
              <w:t>Rival A</w:t>
            </w:r>
          </w:p>
        </w:tc>
        <w:tc>
          <w:tcPr>
            <w:tcW w:type="dxa" w:w="5083"/>
            <w:vAlign w:val="center"/>
          </w:tcPr>
          <w:p>
            <w:r/>
            <w:r>
              <w:rPr>
                <w:b w:val="0"/>
                <w:sz w:val="18"/>
              </w:rPr>
              <w:t>18</w:t>
            </w:r>
          </w:p>
        </w:tc>
      </w:tr>
      <w:tr>
        <w:tc>
          <w:tcPr>
            <w:tcW w:type="dxa" w:w="5083"/>
            <w:vAlign w:val="center"/>
          </w:tcPr>
          <w:p>
            <w:r/>
            <w:r>
              <w:rPr>
                <w:b w:val="0"/>
                <w:sz w:val="18"/>
              </w:rPr>
              <w:t>Rival B</w:t>
            </w:r>
          </w:p>
        </w:tc>
        <w:tc>
          <w:tcPr>
            <w:tcW w:type="dxa" w:w="5083"/>
            <w:vAlign w:val="center"/>
          </w:tcPr>
          <w:p>
            <w:r/>
            <w:r>
              <w:rPr>
                <w:b w:val="0"/>
                <w:sz w:val="18"/>
              </w:rPr>
              <w:t>12</w:t>
            </w:r>
          </w:p>
        </w:tc>
      </w:tr>
      <w:tr>
        <w:tc>
          <w:tcPr>
            <w:tcW w:type="dxa" w:w="5083"/>
            <w:vAlign w:val="center"/>
          </w:tcPr>
          <w:p>
            <w:r/>
            <w:r>
              <w:rPr>
                <w:b w:val="0"/>
                <w:sz w:val="18"/>
              </w:rPr>
              <w:t>Rival C</w:t>
            </w:r>
          </w:p>
        </w:tc>
        <w:tc>
          <w:tcPr>
            <w:tcW w:type="dxa" w:w="5083"/>
            <w:vAlign w:val="center"/>
          </w:tcPr>
          <w:p>
            <w:r/>
            <w:r>
              <w:rPr>
                <w:b w:val="0"/>
                <w:sz w:val="18"/>
              </w:rPr>
              <w:t>8</w:t>
            </w:r>
          </w:p>
        </w:tc>
      </w:tr>
      <w:tr>
        <w:tc>
          <w:tcPr>
            <w:tcW w:type="dxa" w:w="5083"/>
            <w:vAlign w:val="center"/>
          </w:tcPr>
          <w:p>
            <w:r/>
            <w:r>
              <w:rPr>
                <w:b w:val="0"/>
                <w:sz w:val="18"/>
              </w:rPr>
              <w:t>Rival D</w:t>
            </w:r>
          </w:p>
        </w:tc>
        <w:tc>
          <w:tcPr>
            <w:tcW w:type="dxa" w:w="5083"/>
            <w:vAlign w:val="center"/>
          </w:tcPr>
          <w:p>
            <w:r/>
            <w:r>
              <w:rPr>
                <w:b w:val="0"/>
                <w:sz w:val="18"/>
              </w:rPr>
              <w:t>7</w:t>
            </w:r>
          </w:p>
        </w:tc>
      </w:tr>
      <w:tr>
        <w:tc>
          <w:tcPr>
            <w:tcW w:type="dxa" w:w="5083"/>
            <w:vAlign w:val="center"/>
          </w:tcPr>
          <w:p>
            <w:r/>
            <w:r>
              <w:rPr>
                <w:b w:val="0"/>
                <w:sz w:val="18"/>
              </w:rPr>
              <w:t>Other</w:t>
            </w:r>
          </w:p>
        </w:tc>
        <w:tc>
          <w:tcPr>
            <w:tcW w:type="dxa" w:w="5083"/>
            <w:vAlign w:val="center"/>
          </w:tcPr>
          <w:p>
            <w:r/>
            <w:r>
              <w:rPr>
                <w:b w:val="0"/>
                <w:sz w:val="18"/>
              </w:rPr>
              <w:t>5</w:t>
            </w:r>
          </w:p>
        </w:tc>
      </w:tr>
    </w:tbl>
    <w:p/>
    <w:p>
      <w:r>
        <w:t>HHI pre = 27^2 + 23^2 + 18^2 + 12^2 + 8^2 + 7^2 + 5^2 = 1864.</w:t>
      </w:r>
    </w:p>
    <w:p>
      <w:r>
        <w:t>HHI post = 50^2 + 18^2 + 12^2 + 8^2 + 7^2 + 5^2 = 3106.</w:t>
      </w:r>
    </w:p>
    <w:p>
      <w:r>
        <w:rPr>
          <w:b/>
        </w:rPr>
        <w:t>Delta HHI = 3106 - 1864 = 1242 points.</w:t>
      </w:r>
    </w:p>
    <w:p>
      <w:r>
        <w:rPr>
          <w:b/>
        </w:rPr>
        <w:t xml:space="preserve">CHECK: </w:t>
      </w:r>
      <w:r>
        <w:t>Arithmetic is independently reproducible from the supplied shares; shares themselves are hypothetical.</w:t>
      </w:r>
    </w:p>
    <w:p>
      <w:r>
        <w:rPr>
          <w:b/>
        </w:rPr>
        <w:t xml:space="preserve">LEGAL FRAMEWORK: </w:t>
      </w:r>
      <w:r>
        <w:t>The 2023 DOJ/FTC Merger Guidelines state that a market with post-merger HHI greater than 1800 and an HHI increase greater than 100 is subject to the agencies’ structural presumption framework. The Guidelines are a non-binding statement and the actual legal decision depends on law and facts.</w:t>
      </w:r>
    </w:p>
    <w:p>
      <w:pPr>
        <w:pStyle w:val="Heading1"/>
      </w:pPr>
      <w:r>
        <w:t>5. Theory of harm: elimination of substantial competition</w:t>
      </w:r>
    </w:p>
    <w:p>
      <w:r>
        <w:t>Primary theory: unilateral competitive effects / elimination of substantial competition between the merging parties. Under the assumed record, HelixChem and Northbond are direct rivals for the same aerospace-composite customers, so the merger removes pre-merger rivalry while also producing a large increase in concentration.</w:t>
      </w:r>
    </w:p>
    <w:p>
      <w:r>
        <w:t>The theory is grounded in Guideline 2 of the 2023 Merger Guidelines, which treats substantial competition between the merging firms as relevant independently of market-share concentration. Real cases also recognize that concentration and direct rivalry can support a Section 7 challenge when the factual record is adequate.</w:t>
      </w:r>
    </w:p>
    <w:p>
      <w:pPr>
        <w:pStyle w:val="Heading1"/>
      </w:pPr>
      <w:r>
        <w:t>6. Secondary theory: increased coordination</w:t>
      </w:r>
    </w:p>
    <w:p>
      <w:r>
        <w:t>A secondary theory is increased coordination among the remaining firms. The merger reduces the count of independent firms from seven listed participants to six and sharply increases concentration. Guideline 3 identifies concentrated-market structure and other facts such as maverick behavior and prior coordination as potential indicators. No actual coordination evidence exists in this synthetic record, so this remains a conditional theory, not a conclusion.</w:t>
      </w:r>
    </w:p>
    <w:p>
      <w:pPr>
        <w:pStyle w:val="Heading1"/>
      </w:pPr>
      <w:r>
        <w:t>7. Real precedent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Case</w:t>
            </w:r>
          </w:p>
        </w:tc>
        <w:tc>
          <w:tcPr>
            <w:tcW w:type="dxa" w:w="3389"/>
            <w:vAlign w:val="center"/>
            <w:shd w:fill="D9E2F3"/>
          </w:tcPr>
          <w:p>
            <w:r/>
            <w:r>
              <w:rPr>
                <w:b/>
                <w:sz w:val="18"/>
              </w:rPr>
              <w:t>What it is used for in this artifact</w:t>
            </w:r>
          </w:p>
        </w:tc>
        <w:tc>
          <w:tcPr>
            <w:tcW w:type="dxa" w:w="3389"/>
            <w:vAlign w:val="center"/>
            <w:shd w:fill="D9E2F3"/>
          </w:tcPr>
          <w:p>
            <w:r/>
            <w:r>
              <w:rPr>
                <w:b/>
                <w:sz w:val="18"/>
              </w:rPr>
              <w:t>Holding / relevance</w:t>
            </w:r>
          </w:p>
        </w:tc>
      </w:tr>
      <w:tr>
        <w:tc>
          <w:tcPr>
            <w:tcW w:type="dxa" w:w="3389"/>
            <w:vAlign w:val="center"/>
          </w:tcPr>
          <w:p>
            <w:r/>
            <w:r>
              <w:rPr>
                <w:b w:val="0"/>
                <w:sz w:val="18"/>
              </w:rPr>
              <w:t>Brown Shoe Co. v. United States, 370 U.S. 294 (1962)</w:t>
            </w:r>
          </w:p>
        </w:tc>
        <w:tc>
          <w:tcPr>
            <w:tcW w:type="dxa" w:w="3389"/>
            <w:vAlign w:val="center"/>
          </w:tcPr>
          <w:p>
            <w:r/>
            <w:r>
              <w:rPr>
                <w:b w:val="0"/>
                <w:sz w:val="18"/>
              </w:rPr>
              <w:t>Market definition and practical indicia</w:t>
            </w:r>
          </w:p>
        </w:tc>
        <w:tc>
          <w:tcPr>
            <w:tcW w:type="dxa" w:w="3389"/>
            <w:vAlign w:val="center"/>
          </w:tcPr>
          <w:p>
            <w:r/>
            <w:r>
              <w:rPr>
                <w:b w:val="0"/>
                <w:sz w:val="18"/>
              </w:rPr>
              <w:t>Supreme Court affirmed an injunction under Section 7 and discussed practical market-definition factors and the competitive significance of the relevant product/geographic markets.</w:t>
            </w:r>
          </w:p>
        </w:tc>
      </w:tr>
      <w:tr>
        <w:tc>
          <w:tcPr>
            <w:tcW w:type="dxa" w:w="3389"/>
            <w:vAlign w:val="center"/>
          </w:tcPr>
          <w:p>
            <w:r/>
            <w:r>
              <w:rPr>
                <w:b w:val="0"/>
                <w:sz w:val="18"/>
              </w:rPr>
              <w:t>United States v. Philadelphia National Bank, 374 U.S. 321 (1963)</w:t>
            </w:r>
          </w:p>
        </w:tc>
        <w:tc>
          <w:tcPr>
            <w:tcW w:type="dxa" w:w="3389"/>
            <w:vAlign w:val="center"/>
          </w:tcPr>
          <w:p>
            <w:r/>
            <w:r>
              <w:rPr>
                <w:b w:val="0"/>
                <w:sz w:val="18"/>
              </w:rPr>
              <w:t>Concentration and Section 7 presumption</w:t>
            </w:r>
          </w:p>
        </w:tc>
        <w:tc>
          <w:tcPr>
            <w:tcW w:type="dxa" w:w="3389"/>
            <w:vAlign w:val="center"/>
          </w:tcPr>
          <w:p>
            <w:r/>
            <w:r>
              <w:rPr>
                <w:b w:val="0"/>
                <w:sz w:val="18"/>
              </w:rPr>
              <w:t>Supreme Court affirmed an injunction against the bank merger and recognized that market share plus concentration can support a presumption of likely competitive harm.</w:t>
            </w:r>
          </w:p>
        </w:tc>
      </w:tr>
      <w:tr>
        <w:tc>
          <w:tcPr>
            <w:tcW w:type="dxa" w:w="3389"/>
            <w:vAlign w:val="center"/>
          </w:tcPr>
          <w:p>
            <w:r/>
            <w:r>
              <w:rPr>
                <w:b w:val="0"/>
                <w:sz w:val="18"/>
              </w:rPr>
              <w:t>FTC v. H.J. Heinz Co., 246 F.3d 708 (D.C. Cir. 2001)</w:t>
            </w:r>
          </w:p>
        </w:tc>
        <w:tc>
          <w:tcPr>
            <w:tcW w:type="dxa" w:w="3389"/>
            <w:vAlign w:val="center"/>
          </w:tcPr>
          <w:p>
            <w:r/>
            <w:r>
              <w:rPr>
                <w:b w:val="0"/>
                <w:sz w:val="18"/>
              </w:rPr>
              <w:t>HHI and efficiencies</w:t>
            </w:r>
          </w:p>
        </w:tc>
        <w:tc>
          <w:tcPr>
            <w:tcW w:type="dxa" w:w="3389"/>
            <w:vAlign w:val="center"/>
          </w:tcPr>
          <w:p>
            <w:r/>
            <w:r>
              <w:rPr>
                <w:b w:val="0"/>
                <w:sz w:val="18"/>
              </w:rPr>
              <w:t>D.C. Circuit reversed the district court and directed a preliminary injunction; the court considered very high concentration and the claimed efficiencies.</w:t>
            </w:r>
          </w:p>
        </w:tc>
      </w:tr>
      <w:tr>
        <w:tc>
          <w:tcPr>
            <w:tcW w:type="dxa" w:w="3389"/>
            <w:vAlign w:val="center"/>
          </w:tcPr>
          <w:p>
            <w:r/>
            <w:r>
              <w:rPr>
                <w:b w:val="0"/>
                <w:sz w:val="18"/>
              </w:rPr>
              <w:t>United States v. H&amp;R Block, 833 F. Supp. 2d 36 (D.D.C. 2011)</w:t>
            </w:r>
          </w:p>
        </w:tc>
        <w:tc>
          <w:tcPr>
            <w:tcW w:type="dxa" w:w="3389"/>
            <w:vAlign w:val="center"/>
          </w:tcPr>
          <w:p>
            <w:r/>
            <w:r>
              <w:rPr>
                <w:b w:val="0"/>
                <w:sz w:val="18"/>
              </w:rPr>
              <w:t>Market definition / competitive-effects proof</w:t>
            </w:r>
          </w:p>
        </w:tc>
        <w:tc>
          <w:tcPr>
            <w:tcW w:type="dxa" w:w="3389"/>
            <w:vAlign w:val="center"/>
          </w:tcPr>
          <w:p>
            <w:r/>
            <w:r>
              <w:rPr>
                <w:b w:val="0"/>
                <w:sz w:val="18"/>
              </w:rPr>
              <w:t>District court found the government established a relevant digital DIY tax-preparation market and entered an order preventing the merger.</w:t>
            </w:r>
          </w:p>
        </w:tc>
      </w:tr>
      <w:tr>
        <w:tc>
          <w:tcPr>
            <w:tcW w:type="dxa" w:w="3389"/>
            <w:vAlign w:val="center"/>
          </w:tcPr>
          <w:p>
            <w:r/>
            <w:r>
              <w:rPr>
                <w:b w:val="0"/>
                <w:sz w:val="18"/>
              </w:rPr>
              <w:t>United States v. Anthem, Inc. and Cigna Corp., 236 F. Supp. 3d 171 (D.D.C. 2017)</w:t>
            </w:r>
          </w:p>
        </w:tc>
        <w:tc>
          <w:tcPr>
            <w:tcW w:type="dxa" w:w="3389"/>
            <w:vAlign w:val="center"/>
          </w:tcPr>
          <w:p>
            <w:r/>
            <w:r>
              <w:rPr>
                <w:b w:val="0"/>
                <w:sz w:val="18"/>
              </w:rPr>
              <w:t>Efficiencies / counterargument</w:t>
            </w:r>
          </w:p>
        </w:tc>
        <w:tc>
          <w:tcPr>
            <w:tcW w:type="dxa" w:w="3389"/>
            <w:vAlign w:val="center"/>
          </w:tcPr>
          <w:p>
            <w:r/>
            <w:r>
              <w:rPr>
                <w:b w:val="0"/>
                <w:sz w:val="18"/>
              </w:rPr>
              <w:t>District court enjoined the Anthem-Cigna transaction; claimed efficiencies were assessed in connection with the competitive-effects case.</w:t>
            </w:r>
          </w:p>
        </w:tc>
      </w:tr>
    </w:tbl>
    <w:p/>
    <w:p>
      <w:pPr>
        <w:pStyle w:val="Heading1"/>
      </w:pPr>
      <w:r>
        <w:t>8. Efficiencies defense</w:t>
      </w:r>
    </w:p>
    <w:p>
      <w:r>
        <w:t>The parties would be expected to attempt to show merger-specific, verifiable procompetitive efficiencies. This artifact does not invent a dollar amount for alleged savings. That is deliberate: without an actual record, inserting a numeric efficiency and then claiming it offsets competitive harm would create a false precision problem.</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2F3"/>
          </w:tcPr>
          <w:p>
            <w:r/>
            <w:r>
              <w:rPr>
                <w:b/>
                <w:sz w:val="18"/>
              </w:rPr>
              <w:t>Efficiency question</w:t>
            </w:r>
          </w:p>
        </w:tc>
        <w:tc>
          <w:tcPr>
            <w:tcW w:type="dxa" w:w="5083"/>
            <w:vAlign w:val="center"/>
            <w:shd w:fill="D9E2F3"/>
          </w:tcPr>
          <w:p>
            <w:r/>
            <w:r>
              <w:rPr>
                <w:b/>
                <w:sz w:val="18"/>
              </w:rPr>
              <w:t>Status</w:t>
            </w:r>
          </w:p>
        </w:tc>
      </w:tr>
      <w:tr>
        <w:tc>
          <w:tcPr>
            <w:tcW w:type="dxa" w:w="5083"/>
            <w:vAlign w:val="center"/>
          </w:tcPr>
          <w:p>
            <w:r/>
            <w:r>
              <w:rPr>
                <w:b w:val="0"/>
                <w:sz w:val="18"/>
              </w:rPr>
              <w:t>Is the claimed saving merger-specific?</w:t>
            </w:r>
          </w:p>
        </w:tc>
        <w:tc>
          <w:tcPr>
            <w:tcW w:type="dxa" w:w="5083"/>
            <w:vAlign w:val="center"/>
          </w:tcPr>
          <w:p>
            <w:r/>
            <w:r>
              <w:rPr>
                <w:b w:val="0"/>
                <w:sz w:val="18"/>
              </w:rPr>
              <w:t>UNKNOWN / evidence required</w:t>
            </w:r>
          </w:p>
        </w:tc>
      </w:tr>
      <w:tr>
        <w:tc>
          <w:tcPr>
            <w:tcW w:type="dxa" w:w="5083"/>
            <w:vAlign w:val="center"/>
          </w:tcPr>
          <w:p>
            <w:r/>
            <w:r>
              <w:rPr>
                <w:b w:val="0"/>
                <w:sz w:val="18"/>
              </w:rPr>
              <w:t>Is it verifiable?</w:t>
            </w:r>
          </w:p>
        </w:tc>
        <w:tc>
          <w:tcPr>
            <w:tcW w:type="dxa" w:w="5083"/>
            <w:vAlign w:val="center"/>
          </w:tcPr>
          <w:p>
            <w:r/>
            <w:r>
              <w:rPr>
                <w:b w:val="0"/>
                <w:sz w:val="18"/>
              </w:rPr>
              <w:t>UNKNOWN / documentation required</w:t>
            </w:r>
          </w:p>
        </w:tc>
      </w:tr>
      <w:tr>
        <w:tc>
          <w:tcPr>
            <w:tcW w:type="dxa" w:w="5083"/>
            <w:vAlign w:val="center"/>
          </w:tcPr>
          <w:p>
            <w:r/>
            <w:r>
              <w:rPr>
                <w:b w:val="0"/>
                <w:sz w:val="18"/>
              </w:rPr>
              <w:t>Would it benefit customers?</w:t>
            </w:r>
          </w:p>
        </w:tc>
        <w:tc>
          <w:tcPr>
            <w:tcW w:type="dxa" w:w="5083"/>
            <w:vAlign w:val="center"/>
          </w:tcPr>
          <w:p>
            <w:r/>
            <w:r>
              <w:rPr>
                <w:b w:val="0"/>
                <w:sz w:val="18"/>
              </w:rPr>
              <w:t>UNKNOWN / pass-through analysis required</w:t>
            </w:r>
          </w:p>
        </w:tc>
      </w:tr>
      <w:tr>
        <w:tc>
          <w:tcPr>
            <w:tcW w:type="dxa" w:w="5083"/>
            <w:vAlign w:val="center"/>
          </w:tcPr>
          <w:p>
            <w:r/>
            <w:r>
              <w:rPr>
                <w:b w:val="0"/>
                <w:sz w:val="18"/>
              </w:rPr>
              <w:t>Could the same saving be achieved without the merger?</w:t>
            </w:r>
          </w:p>
        </w:tc>
        <w:tc>
          <w:tcPr>
            <w:tcW w:type="dxa" w:w="5083"/>
            <w:vAlign w:val="center"/>
          </w:tcPr>
          <w:p>
            <w:r/>
            <w:r>
              <w:rPr>
                <w:b w:val="0"/>
                <w:sz w:val="18"/>
              </w:rPr>
              <w:t>UNKNOWN / alternative comparison required</w:t>
            </w:r>
          </w:p>
        </w:tc>
      </w:tr>
      <w:tr>
        <w:tc>
          <w:tcPr>
            <w:tcW w:type="dxa" w:w="5083"/>
            <w:vAlign w:val="center"/>
          </w:tcPr>
          <w:p>
            <w:r/>
            <w:r>
              <w:rPr>
                <w:b w:val="0"/>
                <w:sz w:val="18"/>
              </w:rPr>
              <w:t>Could the claimed effect arise from reduced output or quality?</w:t>
            </w:r>
          </w:p>
        </w:tc>
        <w:tc>
          <w:tcPr>
            <w:tcW w:type="dxa" w:w="5083"/>
            <w:vAlign w:val="center"/>
          </w:tcPr>
          <w:p>
            <w:r/>
            <w:r>
              <w:rPr>
                <w:b w:val="0"/>
                <w:sz w:val="18"/>
              </w:rPr>
              <w:t>UNKNOWN / mechanism analysis required</w:t>
            </w:r>
          </w:p>
        </w:tc>
      </w:tr>
    </w:tbl>
    <w:p/>
    <w:p>
      <w:r>
        <w:rPr>
          <w:b/>
        </w:rPr>
        <w:t xml:space="preserve">LEGAL FRAMEWORK: </w:t>
      </w:r>
      <w:r>
        <w:t>DOJ materials describe cognizable efficiencies as requiring merger-specificity and verifiability and reject savings based solely on anticompetitive reductions. This artifact treats those requirements as a gate, not as a numeric offset formula.</w:t>
      </w:r>
    </w:p>
    <w:p>
      <w:pPr>
        <w:pStyle w:val="Heading1"/>
      </w:pPr>
      <w:r>
        <w:t>9. Counterarguments</w:t>
      </w:r>
    </w:p>
    <w:p>
      <w:pPr>
        <w:pStyle w:val="ListBullet"/>
      </w:pPr>
      <w:r>
        <w:t>The relevant market could be broader than the candidate epoxy-structural-adhesive market, lowering concentration.</w:t>
      </w:r>
    </w:p>
    <w:p>
      <w:pPr>
        <w:pStyle w:val="ListBullet"/>
      </w:pPr>
      <w:r>
        <w:t>Customers may possess sufficient buyer power to constrain pricing after the merger.</w:t>
      </w:r>
    </w:p>
    <w:p>
      <w:pPr>
        <w:pStyle w:val="ListBullet"/>
      </w:pPr>
      <w:r>
        <w:t>Entry, expansion, imports, or rapid technological substitution could constrain the merged firm within the relevant time horizon.</w:t>
      </w:r>
    </w:p>
    <w:p>
      <w:pPr>
        <w:pStyle w:val="ListBullet"/>
      </w:pPr>
      <w:r>
        <w:t>The parties could present merger-specific, verifiable efficiencies that alter the competitive-effects analysis.</w:t>
      </w:r>
    </w:p>
    <w:p>
      <w:pPr>
        <w:pStyle w:val="ListBullet"/>
      </w:pPr>
      <w:r>
        <w:t>Actual evidence might show the firms are less close competitors than the synthetic assumptions state.</w:t>
      </w:r>
    </w:p>
    <w:p>
      <w:pPr>
        <w:pStyle w:val="Heading1"/>
      </w:pPr>
      <w:r>
        <w:t>10. Remedies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Remedy type</w:t>
            </w:r>
          </w:p>
        </w:tc>
        <w:tc>
          <w:tcPr>
            <w:tcW w:type="dxa" w:w="3389"/>
            <w:vAlign w:val="center"/>
            <w:shd w:fill="D9E2F3"/>
          </w:tcPr>
          <w:p>
            <w:r/>
            <w:r>
              <w:rPr>
                <w:b/>
                <w:sz w:val="18"/>
              </w:rPr>
              <w:t>Mechanism</w:t>
            </w:r>
          </w:p>
        </w:tc>
        <w:tc>
          <w:tcPr>
            <w:tcW w:type="dxa" w:w="3389"/>
            <w:vAlign w:val="center"/>
            <w:shd w:fill="D9E2F3"/>
          </w:tcPr>
          <w:p>
            <w:r/>
            <w:r>
              <w:rPr>
                <w:b/>
                <w:sz w:val="18"/>
              </w:rPr>
              <w:t>Issue to test</w:t>
            </w:r>
          </w:p>
        </w:tc>
      </w:tr>
      <w:tr>
        <w:tc>
          <w:tcPr>
            <w:tcW w:type="dxa" w:w="3389"/>
            <w:vAlign w:val="center"/>
          </w:tcPr>
          <w:p>
            <w:r/>
            <w:r>
              <w:rPr>
                <w:b w:val="0"/>
                <w:sz w:val="18"/>
              </w:rPr>
              <w:t>Structural</w:t>
            </w:r>
          </w:p>
        </w:tc>
        <w:tc>
          <w:tcPr>
            <w:tcW w:type="dxa" w:w="3389"/>
            <w:vAlign w:val="center"/>
          </w:tcPr>
          <w:p>
            <w:r/>
            <w:r>
              <w:rPr>
                <w:b w:val="0"/>
                <w:sz w:val="18"/>
              </w:rPr>
              <w:t>Divest an overlapping product line, plant, business unit, or customer contracts to an independent buyer.</w:t>
            </w:r>
          </w:p>
        </w:tc>
        <w:tc>
          <w:tcPr>
            <w:tcW w:type="dxa" w:w="3389"/>
            <w:vAlign w:val="center"/>
          </w:tcPr>
          <w:p>
            <w:r/>
            <w:r>
              <w:rPr>
                <w:b w:val="0"/>
                <w:sz w:val="18"/>
              </w:rPr>
              <w:t>Would the divested assets create a durable independent rival?</w:t>
            </w:r>
          </w:p>
        </w:tc>
      </w:tr>
      <w:tr>
        <w:tc>
          <w:tcPr>
            <w:tcW w:type="dxa" w:w="3389"/>
            <w:vAlign w:val="center"/>
          </w:tcPr>
          <w:p>
            <w:r/>
            <w:r>
              <w:rPr>
                <w:b w:val="0"/>
                <w:sz w:val="18"/>
              </w:rPr>
              <w:t>Behavioral</w:t>
            </w:r>
          </w:p>
        </w:tc>
        <w:tc>
          <w:tcPr>
            <w:tcW w:type="dxa" w:w="3389"/>
            <w:vAlign w:val="center"/>
          </w:tcPr>
          <w:p>
            <w:r/>
            <w:r>
              <w:rPr>
                <w:b w:val="0"/>
                <w:sz w:val="18"/>
              </w:rPr>
              <w:t>Non-discrimination, firewalls, licensing, supply obligations, or limits on information sharing.</w:t>
            </w:r>
          </w:p>
        </w:tc>
        <w:tc>
          <w:tcPr>
            <w:tcW w:type="dxa" w:w="3389"/>
            <w:vAlign w:val="center"/>
          </w:tcPr>
          <w:p>
            <w:r/>
            <w:r>
              <w:rPr>
                <w:b w:val="0"/>
                <w:sz w:val="18"/>
              </w:rPr>
              <w:t>Can the remedy be monitored and enforced over time without restoring the lost structural rivalry?</w:t>
            </w:r>
          </w:p>
        </w:tc>
      </w:tr>
      <w:tr>
        <w:tc>
          <w:tcPr>
            <w:tcW w:type="dxa" w:w="3389"/>
            <w:vAlign w:val="center"/>
          </w:tcPr>
          <w:p>
            <w:r/>
            <w:r>
              <w:rPr>
                <w:b w:val="0"/>
                <w:sz w:val="18"/>
              </w:rPr>
              <w:t>No remedy</w:t>
            </w:r>
          </w:p>
        </w:tc>
        <w:tc>
          <w:tcPr>
            <w:tcW w:type="dxa" w:w="3389"/>
            <w:vAlign w:val="center"/>
          </w:tcPr>
          <w:p>
            <w:r/>
            <w:r>
              <w:rPr>
                <w:b w:val="0"/>
                <w:sz w:val="18"/>
              </w:rPr>
              <w:t>Transaction prohibited or abandoned.</w:t>
            </w:r>
          </w:p>
        </w:tc>
        <w:tc>
          <w:tcPr>
            <w:tcW w:type="dxa" w:w="3389"/>
            <w:vAlign w:val="center"/>
          </w:tcPr>
          <w:p>
            <w:r/>
            <w:r>
              <w:rPr>
                <w:b w:val="0"/>
                <w:sz w:val="18"/>
              </w:rPr>
              <w:t>Relevant only if competitive harm remains unremedied; this artifact does not decide the actual legal outcome.</w:t>
            </w:r>
          </w:p>
        </w:tc>
      </w:tr>
    </w:tbl>
    <w:p/>
    <w:p>
      <w:pPr>
        <w:pStyle w:val="Heading1"/>
      </w:pPr>
      <w:r>
        <w:t>11. Section 2 boundary</w:t>
      </w:r>
    </w:p>
    <w:p>
      <w:r>
        <w:t>Sherman Act Section 2 prohibits monopolization, attempted monopolization, and conspiracies to monopolize. The hypothetical does not posit monopoly power or monopolization conduct, so Section 2 is not the controlling theory for this merger test. If later evidence introduced monopoly-power and exclusionary-conduct facts, Section 2 would require a separate elements analysis rather than being inferred merely from a large HHI.</w:t>
      </w:r>
    </w:p>
    <w:p>
      <w:pPr>
        <w:pStyle w:val="Heading1"/>
      </w:pPr>
      <w:r>
        <w:t>12. Expert-facing weakness statement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Weakness</w:t>
            </w:r>
          </w:p>
        </w:tc>
        <w:tc>
          <w:tcPr>
            <w:tcW w:type="dxa" w:w="3389"/>
            <w:vAlign w:val="center"/>
            <w:shd w:fill="D9E2F3"/>
          </w:tcPr>
          <w:p>
            <w:r/>
            <w:r>
              <w:rPr>
                <w:b/>
                <w:sz w:val="18"/>
              </w:rPr>
              <w:t>Why it matters</w:t>
            </w:r>
          </w:p>
        </w:tc>
        <w:tc>
          <w:tcPr>
            <w:tcW w:type="dxa" w:w="3389"/>
            <w:vAlign w:val="center"/>
            <w:shd w:fill="D9E2F3"/>
          </w:tcPr>
          <w:p>
            <w:r/>
            <w:r>
              <w:rPr>
                <w:b/>
                <w:sz w:val="18"/>
              </w:rPr>
              <w:t>Required fix</w:t>
            </w:r>
          </w:p>
        </w:tc>
      </w:tr>
      <w:tr>
        <w:tc>
          <w:tcPr>
            <w:tcW w:type="dxa" w:w="3389"/>
            <w:vAlign w:val="center"/>
          </w:tcPr>
          <w:p>
            <w:r/>
            <w:r>
              <w:rPr>
                <w:b w:val="0"/>
                <w:sz w:val="18"/>
              </w:rPr>
              <w:t>All firm data are synthetic</w:t>
            </w:r>
          </w:p>
        </w:tc>
        <w:tc>
          <w:tcPr>
            <w:tcW w:type="dxa" w:w="3389"/>
            <w:vAlign w:val="center"/>
          </w:tcPr>
          <w:p>
            <w:r/>
            <w:r>
              <w:rPr>
                <w:b w:val="0"/>
                <w:sz w:val="18"/>
              </w:rPr>
              <w:t>HHI cannot prove anything about a real market.</w:t>
            </w:r>
          </w:p>
        </w:tc>
        <w:tc>
          <w:tcPr>
            <w:tcW w:type="dxa" w:w="3389"/>
            <w:vAlign w:val="center"/>
          </w:tcPr>
          <w:p>
            <w:r/>
            <w:r>
              <w:rPr>
                <w:b w:val="0"/>
                <w:sz w:val="18"/>
              </w:rPr>
              <w:t>Replace shares with verified transaction-period market data.</w:t>
            </w:r>
          </w:p>
        </w:tc>
      </w:tr>
      <w:tr>
        <w:tc>
          <w:tcPr>
            <w:tcW w:type="dxa" w:w="3389"/>
            <w:vAlign w:val="center"/>
          </w:tcPr>
          <w:p>
            <w:r/>
            <w:r>
              <w:rPr>
                <w:b w:val="0"/>
                <w:sz w:val="18"/>
              </w:rPr>
              <w:t>Market definition evidence is synthetic</w:t>
            </w:r>
          </w:p>
        </w:tc>
        <w:tc>
          <w:tcPr>
            <w:tcW w:type="dxa" w:w="3389"/>
            <w:vAlign w:val="center"/>
          </w:tcPr>
          <w:p>
            <w:r/>
            <w:r>
              <w:rPr>
                <w:b w:val="0"/>
                <w:sz w:val="18"/>
              </w:rPr>
              <w:t>Market boundaries are only provisional.</w:t>
            </w:r>
          </w:p>
        </w:tc>
        <w:tc>
          <w:tcPr>
            <w:tcW w:type="dxa" w:w="3389"/>
            <w:vAlign w:val="center"/>
          </w:tcPr>
          <w:p>
            <w:r/>
            <w:r>
              <w:rPr>
                <w:b w:val="0"/>
                <w:sz w:val="18"/>
              </w:rPr>
              <w:t>Run customer substitution, tender, pricing, and geographic evidence tests.</w:t>
            </w:r>
          </w:p>
        </w:tc>
      </w:tr>
      <w:tr>
        <w:tc>
          <w:tcPr>
            <w:tcW w:type="dxa" w:w="3389"/>
            <w:vAlign w:val="center"/>
          </w:tcPr>
          <w:p>
            <w:r/>
            <w:r>
              <w:rPr>
                <w:b w:val="0"/>
                <w:sz w:val="18"/>
              </w:rPr>
              <w:t>No econometric demand analysis</w:t>
            </w:r>
          </w:p>
        </w:tc>
        <w:tc>
          <w:tcPr>
            <w:tcW w:type="dxa" w:w="3389"/>
            <w:vAlign w:val="center"/>
          </w:tcPr>
          <w:p>
            <w:r/>
            <w:r>
              <w:rPr>
                <w:b w:val="0"/>
                <w:sz w:val="18"/>
              </w:rPr>
              <w:t>Unilateral-effect magnitude is not estimated.</w:t>
            </w:r>
          </w:p>
        </w:tc>
        <w:tc>
          <w:tcPr>
            <w:tcW w:type="dxa" w:w="3389"/>
            <w:vAlign w:val="center"/>
          </w:tcPr>
          <w:p>
            <w:r/>
            <w:r>
              <w:rPr>
                <w:b w:val="0"/>
                <w:sz w:val="18"/>
              </w:rPr>
              <w:t>Estimate diversion, margins, price pressure, or another appropriate empirical model if data permit.</w:t>
            </w:r>
          </w:p>
        </w:tc>
      </w:tr>
      <w:tr>
        <w:tc>
          <w:tcPr>
            <w:tcW w:type="dxa" w:w="3389"/>
            <w:vAlign w:val="center"/>
          </w:tcPr>
          <w:p>
            <w:r/>
            <w:r>
              <w:rPr>
                <w:b w:val="0"/>
                <w:sz w:val="18"/>
              </w:rPr>
              <w:t>No actual efficiencies record</w:t>
            </w:r>
          </w:p>
        </w:tc>
        <w:tc>
          <w:tcPr>
            <w:tcW w:type="dxa" w:w="3389"/>
            <w:vAlign w:val="center"/>
          </w:tcPr>
          <w:p>
            <w:r/>
            <w:r>
              <w:rPr>
                <w:b w:val="0"/>
                <w:sz w:val="18"/>
              </w:rPr>
              <w:t>Rebuttal cannot be credited.</w:t>
            </w:r>
          </w:p>
        </w:tc>
        <w:tc>
          <w:tcPr>
            <w:tcW w:type="dxa" w:w="3389"/>
            <w:vAlign w:val="center"/>
          </w:tcPr>
          <w:p>
            <w:r/>
            <w:r>
              <w:rPr>
                <w:b w:val="0"/>
                <w:sz w:val="18"/>
              </w:rPr>
              <w:t>Collect transaction-specific cost studies and verifiable documentation.</w:t>
            </w:r>
          </w:p>
        </w:tc>
      </w:tr>
      <w:tr>
        <w:tc>
          <w:tcPr>
            <w:tcW w:type="dxa" w:w="3389"/>
            <w:vAlign w:val="center"/>
          </w:tcPr>
          <w:p>
            <w:r/>
            <w:r>
              <w:rPr>
                <w:b w:val="0"/>
                <w:sz w:val="18"/>
              </w:rPr>
              <w:t>No litigation record</w:t>
            </w:r>
          </w:p>
        </w:tc>
        <w:tc>
          <w:tcPr>
            <w:tcW w:type="dxa" w:w="3389"/>
            <w:vAlign w:val="center"/>
          </w:tcPr>
          <w:p>
            <w:r/>
            <w:r>
              <w:rPr>
                <w:b w:val="0"/>
                <w:sz w:val="18"/>
              </w:rPr>
              <w:t>A court-specific procedural assessment is impossible.</w:t>
            </w:r>
          </w:p>
        </w:tc>
        <w:tc>
          <w:tcPr>
            <w:tcW w:type="dxa" w:w="3389"/>
            <w:vAlign w:val="center"/>
          </w:tcPr>
          <w:p>
            <w:r/>
            <w:r>
              <w:rPr>
                <w:b w:val="0"/>
                <w:sz w:val="18"/>
              </w:rPr>
              <w:t>Map the theory to actual pleadings, evidence, and applicable jurisdiction if a real case is analyzed.</w:t>
            </w:r>
          </w:p>
        </w:tc>
      </w:tr>
    </w:tbl>
    <w:p/>
    <w:p>
      <w:pPr>
        <w:pStyle w:val="Heading1"/>
      </w:pPr>
      <w:r>
        <w:t>13. Conclusion of this test artifact</w:t>
      </w:r>
    </w:p>
    <w:p>
      <w:r>
        <w:t>Under the synthetic assumptions, the arithmetic produces HHI 1864 pre-merger, 3106 post-merger, and a 1242-point increase. The result falls within the 2023 Guidelines’ structural-presumption framework. The primary theory of harm is elimination of substantial competition between direct rivals. But the conclusion remains conditional because the market definition, shares, rivalry facts, efficiencies, and entry conditions are not empirical facts in this test. The artifact therefore demonstrates closure of the analytical chain, not a real-world determination.</w:t>
      </w:r>
    </w:p>
    <w:p>
      <w:pPr>
        <w:pStyle w:val="Heading1"/>
      </w:pPr>
      <w:r>
        <w:t>Source ledger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2F3"/>
          </w:tcPr>
          <w:p>
            <w:r/>
            <w:r>
              <w:rPr>
                <w:b/>
                <w:sz w:val="18"/>
              </w:rPr>
              <w:t>ID</w:t>
            </w:r>
          </w:p>
        </w:tc>
        <w:tc>
          <w:tcPr>
            <w:tcW w:type="dxa" w:w="2541"/>
            <w:vAlign w:val="center"/>
            <w:shd w:fill="D9E2F3"/>
          </w:tcPr>
          <w:p>
            <w:r/>
            <w:r>
              <w:rPr>
                <w:b/>
                <w:sz w:val="18"/>
              </w:rPr>
              <w:t>Authority</w:t>
            </w:r>
          </w:p>
        </w:tc>
        <w:tc>
          <w:tcPr>
            <w:tcW w:type="dxa" w:w="2541"/>
            <w:vAlign w:val="center"/>
            <w:shd w:fill="D9E2F3"/>
          </w:tcPr>
          <w:p>
            <w:r/>
            <w:r>
              <w:rPr>
                <w:b/>
                <w:sz w:val="18"/>
              </w:rPr>
              <w:t>URL</w:t>
            </w:r>
          </w:p>
        </w:tc>
        <w:tc>
          <w:tcPr>
            <w:tcW w:type="dxa" w:w="2541"/>
            <w:vAlign w:val="center"/>
            <w:shd w:fill="D9E2F3"/>
          </w:tcPr>
          <w:p>
            <w:r/>
            <w:r>
              <w:rPr>
                <w:b/>
                <w:sz w:val="18"/>
              </w:rPr>
              <w:t>Use</w:t>
            </w:r>
          </w:p>
        </w:tc>
      </w:tr>
      <w:tr>
        <w:tc>
          <w:tcPr>
            <w:tcW w:type="dxa" w:w="2541"/>
            <w:vAlign w:val="center"/>
          </w:tcPr>
          <w:p>
            <w:r/>
            <w:r>
              <w:rPr>
                <w:b w:val="0"/>
                <w:sz w:val="18"/>
              </w:rPr>
              <w:t>L1</w:t>
            </w:r>
          </w:p>
        </w:tc>
        <w:tc>
          <w:tcPr>
            <w:tcW w:type="dxa" w:w="2541"/>
            <w:vAlign w:val="center"/>
          </w:tcPr>
          <w:p>
            <w:r/>
            <w:r>
              <w:rPr>
                <w:b w:val="0"/>
                <w:sz w:val="18"/>
              </w:rPr>
              <w:t>15 U.S.C. §18</w:t>
            </w:r>
          </w:p>
        </w:tc>
        <w:tc>
          <w:tcPr>
            <w:tcW w:type="dxa" w:w="2541"/>
            <w:vAlign w:val="center"/>
          </w:tcPr>
          <w:p>
            <w:r/>
            <w:r>
              <w:rPr>
                <w:b w:val="0"/>
                <w:sz w:val="18"/>
              </w:rPr>
              <w:t>https://www.law.cornell.edu/uscode/text/15/18</w:t>
            </w:r>
          </w:p>
        </w:tc>
        <w:tc>
          <w:tcPr>
            <w:tcW w:type="dxa" w:w="2541"/>
            <w:vAlign w:val="center"/>
          </w:tcPr>
          <w:p>
            <w:r/>
            <w:r>
              <w:rPr>
                <w:b w:val="0"/>
                <w:sz w:val="18"/>
              </w:rPr>
              <w:t>Clayton Act Section 7.</w:t>
            </w:r>
          </w:p>
        </w:tc>
      </w:tr>
      <w:tr>
        <w:tc>
          <w:tcPr>
            <w:tcW w:type="dxa" w:w="2541"/>
            <w:vAlign w:val="center"/>
          </w:tcPr>
          <w:p>
            <w:r/>
            <w:r>
              <w:rPr>
                <w:b w:val="0"/>
                <w:sz w:val="18"/>
              </w:rPr>
              <w:t>L2</w:t>
            </w:r>
          </w:p>
        </w:tc>
        <w:tc>
          <w:tcPr>
            <w:tcW w:type="dxa" w:w="2541"/>
            <w:vAlign w:val="center"/>
          </w:tcPr>
          <w:p>
            <w:r/>
            <w:r>
              <w:rPr>
                <w:b w:val="0"/>
                <w:sz w:val="18"/>
              </w:rPr>
              <w:t>15 U.S.C. §2</w:t>
            </w:r>
          </w:p>
        </w:tc>
        <w:tc>
          <w:tcPr>
            <w:tcW w:type="dxa" w:w="2541"/>
            <w:vAlign w:val="center"/>
          </w:tcPr>
          <w:p>
            <w:r/>
            <w:r>
              <w:rPr>
                <w:b w:val="0"/>
                <w:sz w:val="18"/>
              </w:rPr>
              <w:t>https://www.law.cornell.edu/uscode/text/15/2</w:t>
            </w:r>
          </w:p>
        </w:tc>
        <w:tc>
          <w:tcPr>
            <w:tcW w:type="dxa" w:w="2541"/>
            <w:vAlign w:val="center"/>
          </w:tcPr>
          <w:p>
            <w:r/>
            <w:r>
              <w:rPr>
                <w:b w:val="0"/>
                <w:sz w:val="18"/>
              </w:rPr>
              <w:t>Sherman Act Section 2 boundary.</w:t>
            </w:r>
          </w:p>
        </w:tc>
      </w:tr>
      <w:tr>
        <w:tc>
          <w:tcPr>
            <w:tcW w:type="dxa" w:w="2541"/>
            <w:vAlign w:val="center"/>
          </w:tcPr>
          <w:p>
            <w:r/>
            <w:r>
              <w:rPr>
                <w:b w:val="0"/>
                <w:sz w:val="18"/>
              </w:rPr>
              <w:t>L3</w:t>
            </w:r>
          </w:p>
        </w:tc>
        <w:tc>
          <w:tcPr>
            <w:tcW w:type="dxa" w:w="2541"/>
            <w:vAlign w:val="center"/>
          </w:tcPr>
          <w:p>
            <w:r/>
            <w:r>
              <w:rPr>
                <w:b w:val="0"/>
                <w:sz w:val="18"/>
              </w:rPr>
              <w:t>DOJ/FTC 2023 Merger Guidelines</w:t>
            </w:r>
          </w:p>
        </w:tc>
        <w:tc>
          <w:tcPr>
            <w:tcW w:type="dxa" w:w="2541"/>
            <w:vAlign w:val="center"/>
          </w:tcPr>
          <w:p>
            <w:r/>
            <w:r>
              <w:rPr>
                <w:b w:val="0"/>
                <w:sz w:val="18"/>
              </w:rPr>
              <w:t>https://www.justice.gov/atr/2023-merger-guidelines</w:t>
            </w:r>
          </w:p>
        </w:tc>
        <w:tc>
          <w:tcPr>
            <w:tcW w:type="dxa" w:w="2541"/>
            <w:vAlign w:val="center"/>
          </w:tcPr>
          <w:p>
            <w:r/>
            <w:r>
              <w:rPr>
                <w:b w:val="0"/>
                <w:sz w:val="18"/>
              </w:rPr>
              <w:t>Current agency framework; non-binding statement.</w:t>
            </w:r>
          </w:p>
        </w:tc>
      </w:tr>
      <w:tr>
        <w:tc>
          <w:tcPr>
            <w:tcW w:type="dxa" w:w="2541"/>
            <w:vAlign w:val="center"/>
          </w:tcPr>
          <w:p>
            <w:r/>
            <w:r>
              <w:rPr>
                <w:b w:val="0"/>
                <w:sz w:val="18"/>
              </w:rPr>
              <w:t>L4</w:t>
            </w:r>
          </w:p>
        </w:tc>
        <w:tc>
          <w:tcPr>
            <w:tcW w:type="dxa" w:w="2541"/>
            <w:vAlign w:val="center"/>
          </w:tcPr>
          <w:p>
            <w:r/>
            <w:r>
              <w:rPr>
                <w:b w:val="0"/>
                <w:sz w:val="18"/>
              </w:rPr>
              <w:t>DOJ Guideline 1</w:t>
            </w:r>
          </w:p>
        </w:tc>
        <w:tc>
          <w:tcPr>
            <w:tcW w:type="dxa" w:w="2541"/>
            <w:vAlign w:val="center"/>
          </w:tcPr>
          <w:p>
            <w:r/>
            <w:r>
              <w:rPr>
                <w:b w:val="0"/>
                <w:sz w:val="18"/>
              </w:rPr>
              <w:t>https://www.justice.gov/atr/merger-guidelines/applying-merger-guidelines/guideline-1</w:t>
            </w:r>
          </w:p>
        </w:tc>
        <w:tc>
          <w:tcPr>
            <w:tcW w:type="dxa" w:w="2541"/>
            <w:vAlign w:val="center"/>
          </w:tcPr>
          <w:p>
            <w:r/>
            <w:r>
              <w:rPr>
                <w:b w:val="0"/>
                <w:sz w:val="18"/>
              </w:rPr>
              <w:t>HHI thresholds and structural presumption.</w:t>
            </w:r>
          </w:p>
        </w:tc>
      </w:tr>
      <w:tr>
        <w:tc>
          <w:tcPr>
            <w:tcW w:type="dxa" w:w="2541"/>
            <w:vAlign w:val="center"/>
          </w:tcPr>
          <w:p>
            <w:r/>
            <w:r>
              <w:rPr>
                <w:b w:val="0"/>
                <w:sz w:val="18"/>
              </w:rPr>
              <w:t>L5</w:t>
            </w:r>
          </w:p>
        </w:tc>
        <w:tc>
          <w:tcPr>
            <w:tcW w:type="dxa" w:w="2541"/>
            <w:vAlign w:val="center"/>
          </w:tcPr>
          <w:p>
            <w:r/>
            <w:r>
              <w:rPr>
                <w:b w:val="0"/>
                <w:sz w:val="18"/>
              </w:rPr>
              <w:t>DOJ Guideline 2</w:t>
            </w:r>
          </w:p>
        </w:tc>
        <w:tc>
          <w:tcPr>
            <w:tcW w:type="dxa" w:w="2541"/>
            <w:vAlign w:val="center"/>
          </w:tcPr>
          <w:p>
            <w:r/>
            <w:r>
              <w:rPr>
                <w:b w:val="0"/>
                <w:sz w:val="18"/>
              </w:rPr>
              <w:t>https://www.justice.gov/atr/merger-guidelines/applying-merger-guidelines/guideline-2</w:t>
            </w:r>
          </w:p>
        </w:tc>
        <w:tc>
          <w:tcPr>
            <w:tcW w:type="dxa" w:w="2541"/>
            <w:vAlign w:val="center"/>
          </w:tcPr>
          <w:p>
            <w:r/>
            <w:r>
              <w:rPr>
                <w:b w:val="0"/>
                <w:sz w:val="18"/>
              </w:rPr>
              <w:t>Elimination of substantial competition.</w:t>
            </w:r>
          </w:p>
        </w:tc>
      </w:tr>
      <w:tr>
        <w:tc>
          <w:tcPr>
            <w:tcW w:type="dxa" w:w="2541"/>
            <w:vAlign w:val="center"/>
          </w:tcPr>
          <w:p>
            <w:r/>
            <w:r>
              <w:rPr>
                <w:b w:val="0"/>
                <w:sz w:val="18"/>
              </w:rPr>
              <w:t>L6</w:t>
            </w:r>
          </w:p>
        </w:tc>
        <w:tc>
          <w:tcPr>
            <w:tcW w:type="dxa" w:w="2541"/>
            <w:vAlign w:val="center"/>
          </w:tcPr>
          <w:p>
            <w:r/>
            <w:r>
              <w:rPr>
                <w:b w:val="0"/>
                <w:sz w:val="18"/>
              </w:rPr>
              <w:t>DOJ Rebuttal Evidence</w:t>
            </w:r>
          </w:p>
        </w:tc>
        <w:tc>
          <w:tcPr>
            <w:tcW w:type="dxa" w:w="2541"/>
            <w:vAlign w:val="center"/>
          </w:tcPr>
          <w:p>
            <w:r/>
            <w:r>
              <w:rPr>
                <w:b w:val="0"/>
                <w:sz w:val="18"/>
              </w:rPr>
              <w:t>https://www.justice.gov/atr/merger-guidelines/rebuttal-evidence</w:t>
            </w:r>
          </w:p>
        </w:tc>
        <w:tc>
          <w:tcPr>
            <w:tcW w:type="dxa" w:w="2541"/>
            <w:vAlign w:val="center"/>
          </w:tcPr>
          <w:p>
            <w:r/>
            <w:r>
              <w:rPr>
                <w:b w:val="0"/>
                <w:sz w:val="18"/>
              </w:rPr>
              <w:t>Efficiencies and rebuttal framework.</w:t>
            </w:r>
          </w:p>
        </w:tc>
      </w:tr>
      <w:tr>
        <w:tc>
          <w:tcPr>
            <w:tcW w:type="dxa" w:w="2541"/>
            <w:vAlign w:val="center"/>
          </w:tcPr>
          <w:p>
            <w:r/>
            <w:r>
              <w:rPr>
                <w:b w:val="0"/>
                <w:sz w:val="18"/>
              </w:rPr>
              <w:t>C1</w:t>
            </w:r>
          </w:p>
        </w:tc>
        <w:tc>
          <w:tcPr>
            <w:tcW w:type="dxa" w:w="2541"/>
            <w:vAlign w:val="center"/>
          </w:tcPr>
          <w:p>
            <w:r/>
            <w:r>
              <w:rPr>
                <w:b w:val="0"/>
                <w:sz w:val="18"/>
              </w:rPr>
              <w:t>Brown Shoe Co. v. United States</w:t>
            </w:r>
          </w:p>
        </w:tc>
        <w:tc>
          <w:tcPr>
            <w:tcW w:type="dxa" w:w="2541"/>
            <w:vAlign w:val="center"/>
          </w:tcPr>
          <w:p>
            <w:r/>
            <w:r>
              <w:rPr>
                <w:b w:val="0"/>
                <w:sz w:val="18"/>
              </w:rPr>
              <w:t>https://www.law.cornell.edu/supremecourt/text/370/294</w:t>
            </w:r>
          </w:p>
        </w:tc>
        <w:tc>
          <w:tcPr>
            <w:tcW w:type="dxa" w:w="2541"/>
            <w:vAlign w:val="center"/>
          </w:tcPr>
          <w:p>
            <w:r/>
            <w:r>
              <w:rPr>
                <w:b w:val="0"/>
                <w:sz w:val="18"/>
              </w:rPr>
              <w:t>Supreme Court opinion.</w:t>
            </w:r>
          </w:p>
        </w:tc>
      </w:tr>
      <w:tr>
        <w:tc>
          <w:tcPr>
            <w:tcW w:type="dxa" w:w="2541"/>
            <w:vAlign w:val="center"/>
          </w:tcPr>
          <w:p>
            <w:r/>
            <w:r>
              <w:rPr>
                <w:b w:val="0"/>
                <w:sz w:val="18"/>
              </w:rPr>
              <w:t>C2</w:t>
            </w:r>
          </w:p>
        </w:tc>
        <w:tc>
          <w:tcPr>
            <w:tcW w:type="dxa" w:w="2541"/>
            <w:vAlign w:val="center"/>
          </w:tcPr>
          <w:p>
            <w:r/>
            <w:r>
              <w:rPr>
                <w:b w:val="0"/>
                <w:sz w:val="18"/>
              </w:rPr>
              <w:t>United States v. Philadelphia National Bank</w:t>
            </w:r>
          </w:p>
        </w:tc>
        <w:tc>
          <w:tcPr>
            <w:tcW w:type="dxa" w:w="2541"/>
            <w:vAlign w:val="center"/>
          </w:tcPr>
          <w:p>
            <w:r/>
            <w:r>
              <w:rPr>
                <w:b w:val="0"/>
                <w:sz w:val="18"/>
              </w:rPr>
              <w:t>https://www.law.cornell.edu/supremecourt/text/374/321</w:t>
            </w:r>
          </w:p>
        </w:tc>
        <w:tc>
          <w:tcPr>
            <w:tcW w:type="dxa" w:w="2541"/>
            <w:vAlign w:val="center"/>
          </w:tcPr>
          <w:p>
            <w:r/>
            <w:r>
              <w:rPr>
                <w:b w:val="0"/>
                <w:sz w:val="18"/>
              </w:rPr>
              <w:t>Supreme Court opinion.</w:t>
            </w:r>
          </w:p>
        </w:tc>
      </w:tr>
      <w:tr>
        <w:tc>
          <w:tcPr>
            <w:tcW w:type="dxa" w:w="2541"/>
            <w:vAlign w:val="center"/>
          </w:tcPr>
          <w:p>
            <w:r/>
            <w:r>
              <w:rPr>
                <w:b w:val="0"/>
                <w:sz w:val="18"/>
              </w:rPr>
              <w:t>C3</w:t>
            </w:r>
          </w:p>
        </w:tc>
        <w:tc>
          <w:tcPr>
            <w:tcW w:type="dxa" w:w="2541"/>
            <w:vAlign w:val="center"/>
          </w:tcPr>
          <w:p>
            <w:r/>
            <w:r>
              <w:rPr>
                <w:b w:val="0"/>
                <w:sz w:val="18"/>
              </w:rPr>
              <w:t>FTC v. H.J. Heinz Co.</w:t>
            </w:r>
          </w:p>
        </w:tc>
        <w:tc>
          <w:tcPr>
            <w:tcW w:type="dxa" w:w="2541"/>
            <w:vAlign w:val="center"/>
          </w:tcPr>
          <w:p>
            <w:r/>
            <w:r>
              <w:rPr>
                <w:b w:val="0"/>
                <w:sz w:val="18"/>
              </w:rPr>
              <w:t>https://law.justia.com/cases/federal/appellate-courts/F3/246/708/469087/</w:t>
            </w:r>
          </w:p>
        </w:tc>
        <w:tc>
          <w:tcPr>
            <w:tcW w:type="dxa" w:w="2541"/>
            <w:vAlign w:val="center"/>
          </w:tcPr>
          <w:p>
            <w:r/>
            <w:r>
              <w:rPr>
                <w:b w:val="0"/>
                <w:sz w:val="18"/>
              </w:rPr>
              <w:t>D.C. Circuit opinion.</w:t>
            </w:r>
          </w:p>
        </w:tc>
      </w:tr>
      <w:tr>
        <w:tc>
          <w:tcPr>
            <w:tcW w:type="dxa" w:w="2541"/>
            <w:vAlign w:val="center"/>
          </w:tcPr>
          <w:p>
            <w:r/>
            <w:r>
              <w:rPr>
                <w:b w:val="0"/>
                <w:sz w:val="18"/>
              </w:rPr>
              <w:t>C4</w:t>
            </w:r>
          </w:p>
        </w:tc>
        <w:tc>
          <w:tcPr>
            <w:tcW w:type="dxa" w:w="2541"/>
            <w:vAlign w:val="center"/>
          </w:tcPr>
          <w:p>
            <w:r/>
            <w:r>
              <w:rPr>
                <w:b w:val="0"/>
                <w:sz w:val="18"/>
              </w:rPr>
              <w:t>United States v. H&amp;R Block</w:t>
            </w:r>
          </w:p>
        </w:tc>
        <w:tc>
          <w:tcPr>
            <w:tcW w:type="dxa" w:w="2541"/>
            <w:vAlign w:val="center"/>
          </w:tcPr>
          <w:p>
            <w:r/>
            <w:r>
              <w:rPr>
                <w:b w:val="0"/>
                <w:sz w:val="18"/>
              </w:rPr>
              <w:t>https://openjurist.org/833/fsupp2d/36/united-states-v-h-r-block-inc-2663375</w:t>
            </w:r>
          </w:p>
        </w:tc>
        <w:tc>
          <w:tcPr>
            <w:tcW w:type="dxa" w:w="2541"/>
            <w:vAlign w:val="center"/>
          </w:tcPr>
          <w:p>
            <w:r/>
            <w:r>
              <w:rPr>
                <w:b w:val="0"/>
                <w:sz w:val="18"/>
              </w:rPr>
              <w:t>D.D.C. decision.</w:t>
            </w:r>
          </w:p>
        </w:tc>
      </w:tr>
      <w:tr>
        <w:tc>
          <w:tcPr>
            <w:tcW w:type="dxa" w:w="2541"/>
            <w:vAlign w:val="center"/>
          </w:tcPr>
          <w:p>
            <w:r/>
            <w:r>
              <w:rPr>
                <w:b w:val="0"/>
                <w:sz w:val="18"/>
              </w:rPr>
              <w:t>C5</w:t>
            </w:r>
          </w:p>
        </w:tc>
        <w:tc>
          <w:tcPr>
            <w:tcW w:type="dxa" w:w="2541"/>
            <w:vAlign w:val="center"/>
          </w:tcPr>
          <w:p>
            <w:r/>
            <w:r>
              <w:rPr>
                <w:b w:val="0"/>
                <w:sz w:val="18"/>
              </w:rPr>
              <w:t>United States v. Anthem, Inc. and Cigna Corp.</w:t>
            </w:r>
          </w:p>
        </w:tc>
        <w:tc>
          <w:tcPr>
            <w:tcW w:type="dxa" w:w="2541"/>
            <w:vAlign w:val="center"/>
          </w:tcPr>
          <w:p>
            <w:r/>
            <w:r>
              <w:rPr>
                <w:b w:val="0"/>
                <w:sz w:val="18"/>
              </w:rPr>
              <w:t>https://www.justice.gov/atr/case/us-and-plaintiff-states-v-anthem-inc-and-cigna-corp</w:t>
            </w:r>
          </w:p>
        </w:tc>
        <w:tc>
          <w:tcPr>
            <w:tcW w:type="dxa" w:w="2541"/>
            <w:vAlign w:val="center"/>
          </w:tcPr>
          <w:p>
            <w:r/>
            <w:r>
              <w:rPr>
                <w:b w:val="0"/>
                <w:sz w:val="18"/>
              </w:rPr>
              <w:t>DOJ case materials and case background.</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BlackSwanLabz / AIL-MoIE dual-domain test | 2026-09-27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sz w:val="16"/>
      </w:rPr>
      <w:t>HELIXCHEM / NORTHBOND / PRELIMINARY MERGER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03_HelixChem_Northbond_Preliminary_Merger_Analysis</dc:title>
  <dc:subject>Evidence-gated AIL/MoIE test artifact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