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K0 + Launch Closure: Falsification and Validation Protocol</w:t>
      </w:r>
    </w:p>
    <w:p>
      <w:pPr>
        <w:jc w:val="center"/>
      </w:pPr>
      <w:r>
        <w:rPr>
          <w:b/>
          <w:sz w:val="22"/>
        </w:rPr>
        <w:t>Pre-registered structure for comparing conventional, AIL/MoIE, and hybrid workflows without fabricating execution results</w:t>
      </w:r>
    </w:p>
    <w:p>
      <w:pPr>
        <w:jc w:val="center"/>
      </w:pPr>
      <w:r>
        <w:rPr>
          <w:i/>
          <w:sz w:val="18"/>
        </w:rPr>
        <w:t>Prepared 2026-09-27 | Status: preliminary, evidence-gated</w:t>
      </w:r>
    </w:p>
    <w:p/>
    <w:p>
      <w:pPr>
        <w:pStyle w:val="Heading1"/>
      </w:pPr>
      <w:r>
        <w:t>1. Purpose</w:t>
      </w:r>
    </w:p>
    <w:p>
      <w:r>
        <w:t>This protocol separates specification from demonstrated performance. It defines what would count as evidence for or against the proposed audit kernel, the dual-domain substrate, and the launch-closure harness.</w:t>
      </w:r>
    </w:p>
    <w:p>
      <w:pPr>
        <w:pStyle w:val="Heading1"/>
      </w:pPr>
      <w:r>
        <w:t>2. Three-arm comparison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Arm</w:t>
            </w:r>
          </w:p>
        </w:tc>
        <w:tc>
          <w:tcPr>
            <w:tcW w:type="dxa" w:w="3389"/>
            <w:vAlign w:val="center"/>
            <w:shd w:fill="D9E2F3"/>
          </w:tcPr>
          <w:p>
            <w:r/>
            <w:r>
              <w:rPr>
                <w:b/>
                <w:sz w:val="18"/>
              </w:rPr>
              <w:t>Workflow</w:t>
            </w:r>
          </w:p>
        </w:tc>
        <w:tc>
          <w:tcPr>
            <w:tcW w:type="dxa" w:w="3389"/>
            <w:vAlign w:val="center"/>
            <w:shd w:fill="D9E2F3"/>
          </w:tcPr>
          <w:p>
            <w:r/>
            <w:r>
              <w:rPr>
                <w:b/>
                <w:sz w:val="18"/>
              </w:rPr>
              <w:t>Purpose</w:t>
            </w:r>
          </w:p>
        </w:tc>
      </w:tr>
      <w:tr>
        <w:tc>
          <w:tcPr>
            <w:tcW w:type="dxa" w:w="3389"/>
            <w:vAlign w:val="center"/>
          </w:tcPr>
          <w:p>
            <w:r/>
            <w:r>
              <w:rPr>
                <w:b w:val="0"/>
                <w:sz w:val="18"/>
              </w:rPr>
              <w:t>A</w:t>
            </w:r>
          </w:p>
        </w:tc>
        <w:tc>
          <w:tcPr>
            <w:tcW w:type="dxa" w:w="3389"/>
            <w:vAlign w:val="center"/>
          </w:tcPr>
          <w:p>
            <w:r/>
            <w:r>
              <w:rPr>
                <w:b w:val="0"/>
                <w:sz w:val="18"/>
              </w:rPr>
              <w:t>Conventional domain workflow</w:t>
            </w:r>
          </w:p>
        </w:tc>
        <w:tc>
          <w:tcPr>
            <w:tcW w:type="dxa" w:w="3389"/>
            <w:vAlign w:val="center"/>
          </w:tcPr>
          <w:p>
            <w:r/>
            <w:r>
              <w:rPr>
                <w:b w:val="0"/>
                <w:sz w:val="18"/>
              </w:rPr>
              <w:t>Baseline against which effort and defect-detection quality are measured.</w:t>
            </w:r>
          </w:p>
        </w:tc>
      </w:tr>
      <w:tr>
        <w:tc>
          <w:tcPr>
            <w:tcW w:type="dxa" w:w="3389"/>
            <w:vAlign w:val="center"/>
          </w:tcPr>
          <w:p>
            <w:r/>
            <w:r>
              <w:rPr>
                <w:b w:val="0"/>
                <w:sz w:val="18"/>
              </w:rPr>
              <w:t>B</w:t>
            </w:r>
          </w:p>
        </w:tc>
        <w:tc>
          <w:tcPr>
            <w:tcW w:type="dxa" w:w="3389"/>
            <w:vAlign w:val="center"/>
          </w:tcPr>
          <w:p>
            <w:r/>
            <w:r>
              <w:rPr>
                <w:b w:val="0"/>
                <w:sz w:val="18"/>
              </w:rPr>
              <w:t>AIL/MoIE substrate workflow</w:t>
            </w:r>
          </w:p>
        </w:tc>
        <w:tc>
          <w:tcPr>
            <w:tcW w:type="dxa" w:w="3389"/>
            <w:vAlign w:val="center"/>
          </w:tcPr>
          <w:p>
            <w:r/>
            <w:r>
              <w:rPr>
                <w:b w:val="0"/>
                <w:sz w:val="18"/>
              </w:rPr>
              <w:t>Tests whether inversion-focused specialist passes produce more complete/defensible artifacts.</w:t>
            </w:r>
          </w:p>
        </w:tc>
      </w:tr>
      <w:tr>
        <w:tc>
          <w:tcPr>
            <w:tcW w:type="dxa" w:w="3389"/>
            <w:vAlign w:val="center"/>
          </w:tcPr>
          <w:p>
            <w:r/>
            <w:r>
              <w:rPr>
                <w:b w:val="0"/>
                <w:sz w:val="18"/>
              </w:rPr>
              <w:t>C</w:t>
            </w:r>
          </w:p>
        </w:tc>
        <w:tc>
          <w:tcPr>
            <w:tcW w:type="dxa" w:w="3389"/>
            <w:vAlign w:val="center"/>
          </w:tcPr>
          <w:p>
            <w:r/>
            <w:r>
              <w:rPr>
                <w:b w:val="0"/>
                <w:sz w:val="18"/>
              </w:rPr>
              <w:t>Hybrid expert-audit workflow</w:t>
            </w:r>
          </w:p>
        </w:tc>
        <w:tc>
          <w:tcPr>
            <w:tcW w:type="dxa" w:w="3389"/>
            <w:vAlign w:val="center"/>
          </w:tcPr>
          <w:p>
            <w:r/>
            <w:r>
              <w:rPr>
                <w:b w:val="0"/>
                <w:sz w:val="18"/>
              </w:rPr>
              <w:t>Tests whether conventional domain drafting plus AIL/MoIE audit yields the strongest closure.</w:t>
            </w:r>
          </w:p>
        </w:tc>
      </w:tr>
    </w:tbl>
    <w:p/>
    <w:p>
      <w:pPr>
        <w:pStyle w:val="Heading1"/>
      </w:pPr>
      <w:r>
        <w:t>3. Pre-registered success criteria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b/>
                <w:sz w:val="18"/>
              </w:rPr>
              <w:t>Dimension</w:t>
            </w:r>
          </w:p>
        </w:tc>
        <w:tc>
          <w:tcPr>
            <w:tcW w:type="dxa" w:w="5083"/>
            <w:vAlign w:val="center"/>
            <w:shd w:fill="D9E2F3"/>
          </w:tcPr>
          <w:p>
            <w:r/>
            <w:r>
              <w:rPr>
                <w:b/>
                <w:sz w:val="18"/>
              </w:rPr>
              <w:t>Pass condition</w:t>
            </w:r>
          </w:p>
        </w:tc>
      </w:tr>
      <w:tr>
        <w:tc>
          <w:tcPr>
            <w:tcW w:type="dxa" w:w="5083"/>
            <w:vAlign w:val="center"/>
          </w:tcPr>
          <w:p>
            <w:r/>
            <w:r>
              <w:rPr>
                <w:b w:val="0"/>
                <w:sz w:val="18"/>
              </w:rPr>
              <w:t>Citation integrity</w:t>
            </w:r>
          </w:p>
        </w:tc>
        <w:tc>
          <w:tcPr>
            <w:tcW w:type="dxa" w:w="5083"/>
            <w:vAlign w:val="center"/>
          </w:tcPr>
          <w:p>
            <w:r/>
            <w:r>
              <w:rPr>
                <w:b w:val="0"/>
                <w:sz w:val="18"/>
              </w:rPr>
              <w:t>No fabricated source; every consequential external claim resolves to a real source.</w:t>
            </w:r>
          </w:p>
        </w:tc>
      </w:tr>
      <w:tr>
        <w:tc>
          <w:tcPr>
            <w:tcW w:type="dxa" w:w="5083"/>
            <w:vAlign w:val="center"/>
          </w:tcPr>
          <w:p>
            <w:r/>
            <w:r>
              <w:rPr>
                <w:b w:val="0"/>
                <w:sz w:val="18"/>
              </w:rPr>
              <w:t>Numerical integrity</w:t>
            </w:r>
          </w:p>
        </w:tc>
        <w:tc>
          <w:tcPr>
            <w:tcW w:type="dxa" w:w="5083"/>
            <w:vAlign w:val="center"/>
          </w:tcPr>
          <w:p>
            <w:r/>
            <w:r>
              <w:rPr>
                <w:b w:val="0"/>
                <w:sz w:val="18"/>
              </w:rPr>
              <w:t>All published calculations reproduce from stated inputs and units.</w:t>
            </w:r>
          </w:p>
        </w:tc>
      </w:tr>
      <w:tr>
        <w:tc>
          <w:tcPr>
            <w:tcW w:type="dxa" w:w="5083"/>
            <w:vAlign w:val="center"/>
          </w:tcPr>
          <w:p>
            <w:r/>
            <w:r>
              <w:rPr>
                <w:b w:val="0"/>
                <w:sz w:val="18"/>
              </w:rPr>
              <w:t>Assumption labeling</w:t>
            </w:r>
          </w:p>
        </w:tc>
        <w:tc>
          <w:tcPr>
            <w:tcW w:type="dxa" w:w="5083"/>
            <w:vAlign w:val="center"/>
          </w:tcPr>
          <w:p>
            <w:r/>
            <w:r>
              <w:rPr>
                <w:b w:val="0"/>
                <w:sz w:val="18"/>
              </w:rPr>
              <w:t>No material assumption is presented as observed fact.</w:t>
            </w:r>
          </w:p>
        </w:tc>
      </w:tr>
      <w:tr>
        <w:tc>
          <w:tcPr>
            <w:tcW w:type="dxa" w:w="5083"/>
            <w:vAlign w:val="center"/>
          </w:tcPr>
          <w:p>
            <w:r/>
            <w:r>
              <w:rPr>
                <w:b w:val="0"/>
                <w:sz w:val="18"/>
              </w:rPr>
              <w:t>Internal consistency</w:t>
            </w:r>
          </w:p>
        </w:tc>
        <w:tc>
          <w:tcPr>
            <w:tcW w:type="dxa" w:w="5083"/>
            <w:vAlign w:val="center"/>
          </w:tcPr>
          <w:p>
            <w:r/>
            <w:r>
              <w:rPr>
                <w:b w:val="0"/>
                <w:sz w:val="18"/>
              </w:rPr>
              <w:t>No unresolved contradiction among sections.</w:t>
            </w:r>
          </w:p>
        </w:tc>
      </w:tr>
      <w:tr>
        <w:tc>
          <w:tcPr>
            <w:tcW w:type="dxa" w:w="5083"/>
            <w:vAlign w:val="center"/>
          </w:tcPr>
          <w:p>
            <w:r/>
            <w:r>
              <w:rPr>
                <w:b w:val="0"/>
                <w:sz w:val="18"/>
              </w:rPr>
              <w:t>False positives</w:t>
            </w:r>
          </w:p>
        </w:tc>
        <w:tc>
          <w:tcPr>
            <w:tcW w:type="dxa" w:w="5083"/>
            <w:vAlign w:val="center"/>
          </w:tcPr>
          <w:p>
            <w:r/>
            <w:r>
              <w:rPr>
                <w:b w:val="0"/>
                <w:sz w:val="18"/>
              </w:rPr>
              <w:t>Clean artifacts are not blocked for invented defects.</w:t>
            </w:r>
          </w:p>
        </w:tc>
      </w:tr>
      <w:tr>
        <w:tc>
          <w:tcPr>
            <w:tcW w:type="dxa" w:w="5083"/>
            <w:vAlign w:val="center"/>
          </w:tcPr>
          <w:p>
            <w:r/>
            <w:r>
              <w:rPr>
                <w:b w:val="0"/>
                <w:sz w:val="18"/>
              </w:rPr>
              <w:t>Defect detection</w:t>
            </w:r>
          </w:p>
        </w:tc>
        <w:tc>
          <w:tcPr>
            <w:tcW w:type="dxa" w:w="5083"/>
            <w:vAlign w:val="center"/>
          </w:tcPr>
          <w:p>
            <w:r/>
            <w:r>
              <w:rPr>
                <w:b w:val="0"/>
                <w:sz w:val="18"/>
              </w:rPr>
              <w:t>Planted defects are detected at a pre-declared sensitivity target.</w:t>
            </w:r>
          </w:p>
        </w:tc>
      </w:tr>
      <w:tr>
        <w:tc>
          <w:tcPr>
            <w:tcW w:type="dxa" w:w="5083"/>
            <w:vAlign w:val="center"/>
          </w:tcPr>
          <w:p>
            <w:r/>
            <w:r>
              <w:rPr>
                <w:b w:val="0"/>
                <w:sz w:val="18"/>
              </w:rPr>
              <w:t>Boundary awareness</w:t>
            </w:r>
          </w:p>
        </w:tc>
        <w:tc>
          <w:tcPr>
            <w:tcW w:type="dxa" w:w="5083"/>
            <w:vAlign w:val="center"/>
          </w:tcPr>
          <w:p>
            <w:r/>
            <w:r>
              <w:rPr>
                <w:b w:val="0"/>
                <w:sz w:val="18"/>
              </w:rPr>
              <w:t>Unmodeled domains/limits are explicitly marked rather than silently assumed.</w:t>
            </w:r>
          </w:p>
        </w:tc>
      </w:tr>
      <w:tr>
        <w:tc>
          <w:tcPr>
            <w:tcW w:type="dxa" w:w="5083"/>
            <w:vAlign w:val="center"/>
          </w:tcPr>
          <w:p>
            <w:r/>
            <w:r>
              <w:rPr>
                <w:b w:val="0"/>
                <w:sz w:val="18"/>
              </w:rPr>
              <w:t>Replication</w:t>
            </w:r>
          </w:p>
        </w:tc>
        <w:tc>
          <w:tcPr>
            <w:tcW w:type="dxa" w:w="5083"/>
            <w:vAlign w:val="center"/>
          </w:tcPr>
          <w:p>
            <w:r/>
            <w:r>
              <w:rPr>
                <w:b w:val="0"/>
                <w:sz w:val="18"/>
              </w:rPr>
              <w:t>A second operator can reproduce the findings from the packet and scripts.</w:t>
            </w:r>
          </w:p>
        </w:tc>
      </w:tr>
    </w:tbl>
    <w:p/>
    <w:p>
      <w:pPr>
        <w:pStyle w:val="Heading1"/>
      </w:pPr>
      <w:r>
        <w:t>4. False-positive protocol</w:t>
      </w:r>
    </w:p>
    <w:p>
      <w:r>
        <w:t>Use clean artifacts whose claims are independently verified before kernel review. The kernel must return FEASIBLE / PASS for the artifact’s stated scope, with no invented defects. A block is only justified by a demonstrated violation of a pre-registered rule. Any false positive is classified by source: rule error, parser error, data error, domain-model error, or unsupported uncertainty escalation.</w:t>
      </w:r>
    </w:p>
    <w:p>
      <w:r>
        <w:t>Pre-registration rule: the false-positive threshold is zero on critical findings. One or more non-critical editorial warnings are acceptable only if they are explicitly classified as warnings rather than failures. The threshold should not be relaxed after seeing the results.</w:t>
      </w:r>
    </w:p>
    <w:p>
      <w:pPr>
        <w:pStyle w:val="Heading1"/>
      </w:pPr>
      <w:r>
        <w:t>5. Ablation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Run</w:t>
            </w:r>
          </w:p>
        </w:tc>
        <w:tc>
          <w:tcPr>
            <w:tcW w:type="dxa" w:w="3389"/>
            <w:vAlign w:val="center"/>
            <w:shd w:fill="D9E2F3"/>
          </w:tcPr>
          <w:p>
            <w:r/>
            <w:r>
              <w:rPr>
                <w:b/>
                <w:sz w:val="18"/>
              </w:rPr>
              <w:t>Removed component</w:t>
            </w:r>
          </w:p>
        </w:tc>
        <w:tc>
          <w:tcPr>
            <w:tcW w:type="dxa" w:w="3389"/>
            <w:vAlign w:val="center"/>
            <w:shd w:fill="D9E2F3"/>
          </w:tcPr>
          <w:p>
            <w:r/>
            <w:r>
              <w:rPr>
                <w:b/>
                <w:sz w:val="18"/>
              </w:rPr>
              <w:t>Expected diagnostic</w:t>
            </w:r>
          </w:p>
        </w:tc>
      </w:tr>
      <w:tr>
        <w:tc>
          <w:tcPr>
            <w:tcW w:type="dxa" w:w="3389"/>
            <w:vAlign w:val="center"/>
          </w:tcPr>
          <w:p>
            <w:r/>
            <w:r>
              <w:rPr>
                <w:b w:val="0"/>
                <w:sz w:val="18"/>
              </w:rPr>
              <w:t>B0</w:t>
            </w:r>
          </w:p>
        </w:tc>
        <w:tc>
          <w:tcPr>
            <w:tcW w:type="dxa" w:w="3389"/>
            <w:vAlign w:val="center"/>
          </w:tcPr>
          <w:p>
            <w:r/>
            <w:r>
              <w:rPr>
                <w:b w:val="0"/>
                <w:sz w:val="18"/>
              </w:rPr>
              <w:t>Full AIL/MoIE workflow</w:t>
            </w:r>
          </w:p>
        </w:tc>
        <w:tc>
          <w:tcPr>
            <w:tcW w:type="dxa" w:w="3389"/>
            <w:vAlign w:val="center"/>
          </w:tcPr>
          <w:p>
            <w:r/>
            <w:r>
              <w:rPr>
                <w:b w:val="0"/>
                <w:sz w:val="18"/>
              </w:rPr>
              <w:t>Reference result.</w:t>
            </w:r>
          </w:p>
        </w:tc>
      </w:tr>
      <w:tr>
        <w:tc>
          <w:tcPr>
            <w:tcW w:type="dxa" w:w="3389"/>
            <w:vAlign w:val="center"/>
          </w:tcPr>
          <w:p>
            <w:r/>
            <w:r>
              <w:rPr>
                <w:b w:val="0"/>
                <w:sz w:val="18"/>
              </w:rPr>
              <w:t>B1</w:t>
            </w:r>
          </w:p>
        </w:tc>
        <w:tc>
          <w:tcPr>
            <w:tcW w:type="dxa" w:w="3389"/>
            <w:vAlign w:val="center"/>
          </w:tcPr>
          <w:p>
            <w:r/>
            <w:r>
              <w:rPr>
                <w:b w:val="0"/>
                <w:sz w:val="18"/>
              </w:rPr>
              <w:t>Constraint Inverter</w:t>
            </w:r>
          </w:p>
        </w:tc>
        <w:tc>
          <w:tcPr>
            <w:tcW w:type="dxa" w:w="3389"/>
            <w:vAlign w:val="center"/>
          </w:tcPr>
          <w:p>
            <w:r/>
            <w:r>
              <w:rPr>
                <w:b w:val="0"/>
                <w:sz w:val="18"/>
              </w:rPr>
              <w:t>Potential increase in hidden assumptions.</w:t>
            </w:r>
          </w:p>
        </w:tc>
      </w:tr>
      <w:tr>
        <w:tc>
          <w:tcPr>
            <w:tcW w:type="dxa" w:w="3389"/>
            <w:vAlign w:val="center"/>
          </w:tcPr>
          <w:p>
            <w:r/>
            <w:r>
              <w:rPr>
                <w:b w:val="0"/>
                <w:sz w:val="18"/>
              </w:rPr>
              <w:t>B2</w:t>
            </w:r>
          </w:p>
        </w:tc>
        <w:tc>
          <w:tcPr>
            <w:tcW w:type="dxa" w:w="3389"/>
            <w:vAlign w:val="center"/>
          </w:tcPr>
          <w:p>
            <w:r/>
            <w:r>
              <w:rPr>
                <w:b w:val="0"/>
                <w:sz w:val="18"/>
              </w:rPr>
              <w:t>Anomaly Hunter</w:t>
            </w:r>
          </w:p>
        </w:tc>
        <w:tc>
          <w:tcPr>
            <w:tcW w:type="dxa" w:w="3389"/>
            <w:vAlign w:val="center"/>
          </w:tcPr>
          <w:p>
            <w:r/>
            <w:r>
              <w:rPr>
                <w:b w:val="0"/>
                <w:sz w:val="18"/>
              </w:rPr>
              <w:t>Potential increase in missed closure defects.</w:t>
            </w:r>
          </w:p>
        </w:tc>
      </w:tr>
      <w:tr>
        <w:tc>
          <w:tcPr>
            <w:tcW w:type="dxa" w:w="3389"/>
            <w:vAlign w:val="center"/>
          </w:tcPr>
          <w:p>
            <w:r/>
            <w:r>
              <w:rPr>
                <w:b w:val="0"/>
                <w:sz w:val="18"/>
              </w:rPr>
              <w:t>B3</w:t>
            </w:r>
          </w:p>
        </w:tc>
        <w:tc>
          <w:tcPr>
            <w:tcW w:type="dxa" w:w="3389"/>
            <w:vAlign w:val="center"/>
          </w:tcPr>
          <w:p>
            <w:r/>
            <w:r>
              <w:rPr>
                <w:b w:val="0"/>
                <w:sz w:val="18"/>
              </w:rPr>
              <w:t>Boundary Auditor</w:t>
            </w:r>
          </w:p>
        </w:tc>
        <w:tc>
          <w:tcPr>
            <w:tcW w:type="dxa" w:w="3389"/>
            <w:vAlign w:val="center"/>
          </w:tcPr>
          <w:p>
            <w:r/>
            <w:r>
              <w:rPr>
                <w:b w:val="0"/>
                <w:sz w:val="18"/>
              </w:rPr>
              <w:t>Potential increase in overclaiming.</w:t>
            </w:r>
          </w:p>
        </w:tc>
      </w:tr>
      <w:tr>
        <w:tc>
          <w:tcPr>
            <w:tcW w:type="dxa" w:w="3389"/>
            <w:vAlign w:val="center"/>
          </w:tcPr>
          <w:p>
            <w:r/>
            <w:r>
              <w:rPr>
                <w:b w:val="0"/>
                <w:sz w:val="18"/>
              </w:rPr>
              <w:t>B4</w:t>
            </w:r>
          </w:p>
        </w:tc>
        <w:tc>
          <w:tcPr>
            <w:tcW w:type="dxa" w:w="3389"/>
            <w:vAlign w:val="center"/>
          </w:tcPr>
          <w:p>
            <w:r/>
            <w:r>
              <w:rPr>
                <w:b w:val="0"/>
                <w:sz w:val="18"/>
              </w:rPr>
              <w:t>Evidence Auditor</w:t>
            </w:r>
          </w:p>
        </w:tc>
        <w:tc>
          <w:tcPr>
            <w:tcW w:type="dxa" w:w="3389"/>
            <w:vAlign w:val="center"/>
          </w:tcPr>
          <w:p>
            <w:r/>
            <w:r>
              <w:rPr>
                <w:b w:val="0"/>
                <w:sz w:val="18"/>
              </w:rPr>
              <w:t>Potential increase in citation/source failures.</w:t>
            </w:r>
          </w:p>
        </w:tc>
      </w:tr>
      <w:tr>
        <w:tc>
          <w:tcPr>
            <w:tcW w:type="dxa" w:w="3389"/>
            <w:vAlign w:val="center"/>
          </w:tcPr>
          <w:p>
            <w:r/>
            <w:r>
              <w:rPr>
                <w:b w:val="0"/>
                <w:sz w:val="18"/>
              </w:rPr>
              <w:t>B5</w:t>
            </w:r>
          </w:p>
        </w:tc>
        <w:tc>
          <w:tcPr>
            <w:tcW w:type="dxa" w:w="3389"/>
            <w:vAlign w:val="center"/>
          </w:tcPr>
          <w:p>
            <w:r/>
            <w:r>
              <w:rPr>
                <w:b w:val="0"/>
                <w:sz w:val="18"/>
              </w:rPr>
              <w:t>Synthesis Auditor</w:t>
            </w:r>
          </w:p>
        </w:tc>
        <w:tc>
          <w:tcPr>
            <w:tcW w:type="dxa" w:w="3389"/>
            <w:vAlign w:val="center"/>
          </w:tcPr>
          <w:p>
            <w:r/>
            <w:r>
              <w:rPr>
                <w:b w:val="0"/>
                <w:sz w:val="18"/>
              </w:rPr>
              <w:t>Potential increase in cross-domain analogy errors.</w:t>
            </w:r>
          </w:p>
        </w:tc>
      </w:tr>
    </w:tbl>
    <w:p/>
    <w:p>
      <w:r>
        <w:t>Expected degradation is a hypothesis, not a result. The ablation only counts if the omitted component is actually removed and the remaining workflow is held as constant as practical.</w:t>
      </w:r>
    </w:p>
    <w:p>
      <w:pPr>
        <w:pStyle w:val="Heading1"/>
      </w:pPr>
      <w:r>
        <w:t>6. Kernel self-falsification</w:t>
      </w:r>
    </w:p>
    <w:p>
      <w:pPr>
        <w:pStyle w:val="ListBullet"/>
      </w:pPr>
      <w:r>
        <w:t>Clean artifact blocked by a critical false positive.</w:t>
      </w:r>
    </w:p>
    <w:p>
      <w:pPr>
        <w:pStyle w:val="ListBullet"/>
      </w:pPr>
      <w:r>
        <w:t>Planted critical defect missed in two independent operators.</w:t>
      </w:r>
    </w:p>
    <w:p>
      <w:pPr>
        <w:pStyle w:val="ListBullet"/>
      </w:pPr>
      <w:r>
        <w:t>No measurable benefit over baseline after normalizing for effort and source access.</w:t>
      </w:r>
    </w:p>
    <w:p>
      <w:pPr>
        <w:pStyle w:val="ListBullet"/>
      </w:pPr>
      <w:r>
        <w:t>Kernel verdict changes solely because the order of auditor passes changes.</w:t>
      </w:r>
    </w:p>
    <w:p>
      <w:pPr>
        <w:pStyle w:val="ListBullet"/>
      </w:pPr>
      <w:r>
        <w:t>Kernel requires an untracked human intervention to achieve closure while claiming automation.</w:t>
      </w:r>
    </w:p>
    <w:p>
      <w:pPr>
        <w:pStyle w:val="Heading1"/>
      </w:pPr>
      <w:r>
        <w:t>7. Evidence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Label</w:t>
            </w:r>
          </w:p>
        </w:tc>
        <w:tc>
          <w:tcPr>
            <w:tcW w:type="dxa" w:w="3389"/>
            <w:vAlign w:val="center"/>
            <w:shd w:fill="D9E2F3"/>
          </w:tcPr>
          <w:p>
            <w:r/>
            <w:r>
              <w:rPr>
                <w:b/>
                <w:sz w:val="18"/>
              </w:rPr>
              <w:t>Meaning</w:t>
            </w:r>
          </w:p>
        </w:tc>
        <w:tc>
          <w:tcPr>
            <w:tcW w:type="dxa" w:w="3389"/>
            <w:vAlign w:val="center"/>
            <w:shd w:fill="D9E2F3"/>
          </w:tcPr>
          <w:p>
            <w:r/>
            <w:r>
              <w:rPr>
                <w:b/>
                <w:sz w:val="18"/>
              </w:rPr>
              <w:t>Allowed in final artifact</w:t>
            </w:r>
          </w:p>
        </w:tc>
      </w:tr>
      <w:tr>
        <w:tc>
          <w:tcPr>
            <w:tcW w:type="dxa" w:w="3389"/>
            <w:vAlign w:val="center"/>
          </w:tcPr>
          <w:p>
            <w:r/>
            <w:r>
              <w:rPr>
                <w:b w:val="0"/>
                <w:sz w:val="18"/>
              </w:rPr>
              <w:t>FACT</w:t>
            </w:r>
          </w:p>
        </w:tc>
        <w:tc>
          <w:tcPr>
            <w:tcW w:type="dxa" w:w="3389"/>
            <w:vAlign w:val="center"/>
          </w:tcPr>
          <w:p>
            <w:r/>
            <w:r>
              <w:rPr>
                <w:b w:val="0"/>
                <w:sz w:val="18"/>
              </w:rPr>
              <w:t>Externally verified or directly observed.</w:t>
            </w:r>
          </w:p>
        </w:tc>
        <w:tc>
          <w:tcPr>
            <w:tcW w:type="dxa" w:w="3389"/>
            <w:vAlign w:val="center"/>
          </w:tcPr>
          <w:p>
            <w:r/>
            <w:r>
              <w:rPr>
                <w:b w:val="0"/>
                <w:sz w:val="18"/>
              </w:rPr>
              <w:t>Yes.</w:t>
            </w:r>
          </w:p>
        </w:tc>
      </w:tr>
      <w:tr>
        <w:tc>
          <w:tcPr>
            <w:tcW w:type="dxa" w:w="3389"/>
            <w:vAlign w:val="center"/>
          </w:tcPr>
          <w:p>
            <w:r/>
            <w:r>
              <w:rPr>
                <w:b w:val="0"/>
                <w:sz w:val="18"/>
              </w:rPr>
              <w:t>CALCULATED</w:t>
            </w:r>
          </w:p>
        </w:tc>
        <w:tc>
          <w:tcPr>
            <w:tcW w:type="dxa" w:w="3389"/>
            <w:vAlign w:val="center"/>
          </w:tcPr>
          <w:p>
            <w:r/>
            <w:r>
              <w:rPr>
                <w:b w:val="0"/>
                <w:sz w:val="18"/>
              </w:rPr>
              <w:t>Derived from stated inputs using a reproducible calculation.</w:t>
            </w:r>
          </w:p>
        </w:tc>
        <w:tc>
          <w:tcPr>
            <w:tcW w:type="dxa" w:w="3389"/>
            <w:vAlign w:val="center"/>
          </w:tcPr>
          <w:p>
            <w:r/>
            <w:r>
              <w:rPr>
                <w:b w:val="0"/>
                <w:sz w:val="18"/>
              </w:rPr>
              <w:t>Yes, with inputs.</w:t>
            </w:r>
          </w:p>
        </w:tc>
      </w:tr>
      <w:tr>
        <w:tc>
          <w:tcPr>
            <w:tcW w:type="dxa" w:w="3389"/>
            <w:vAlign w:val="center"/>
          </w:tcPr>
          <w:p>
            <w:r/>
            <w:r>
              <w:rPr>
                <w:b w:val="0"/>
                <w:sz w:val="18"/>
              </w:rPr>
              <w:t>ASSUMPTION</w:t>
            </w:r>
          </w:p>
        </w:tc>
        <w:tc>
          <w:tcPr>
            <w:tcW w:type="dxa" w:w="3389"/>
            <w:vAlign w:val="center"/>
          </w:tcPr>
          <w:p>
            <w:r/>
            <w:r>
              <w:rPr>
                <w:b w:val="0"/>
                <w:sz w:val="18"/>
              </w:rPr>
              <w:t>Chosen modeling input without independent observation.</w:t>
            </w:r>
          </w:p>
        </w:tc>
        <w:tc>
          <w:tcPr>
            <w:tcW w:type="dxa" w:w="3389"/>
            <w:vAlign w:val="center"/>
          </w:tcPr>
          <w:p>
            <w:r/>
            <w:r>
              <w:rPr>
                <w:b w:val="0"/>
                <w:sz w:val="18"/>
              </w:rPr>
              <w:t>Yes, but visibly labeled.</w:t>
            </w:r>
          </w:p>
        </w:tc>
      </w:tr>
      <w:tr>
        <w:tc>
          <w:tcPr>
            <w:tcW w:type="dxa" w:w="3389"/>
            <w:vAlign w:val="center"/>
          </w:tcPr>
          <w:p>
            <w:r/>
            <w:r>
              <w:rPr>
                <w:b w:val="0"/>
                <w:sz w:val="18"/>
              </w:rPr>
              <w:t>INFERENCE</w:t>
            </w:r>
          </w:p>
        </w:tc>
        <w:tc>
          <w:tcPr>
            <w:tcW w:type="dxa" w:w="3389"/>
            <w:vAlign w:val="center"/>
          </w:tcPr>
          <w:p>
            <w:r/>
            <w:r>
              <w:rPr>
                <w:b w:val="0"/>
                <w:sz w:val="18"/>
              </w:rPr>
              <w:t>Reasoned consequence of facts/assumptions.</w:t>
            </w:r>
          </w:p>
        </w:tc>
        <w:tc>
          <w:tcPr>
            <w:tcW w:type="dxa" w:w="3389"/>
            <w:vAlign w:val="center"/>
          </w:tcPr>
          <w:p>
            <w:r/>
            <w:r>
              <w:rPr>
                <w:b w:val="0"/>
                <w:sz w:val="18"/>
              </w:rPr>
              <w:t>Yes, clearly distinguished.</w:t>
            </w:r>
          </w:p>
        </w:tc>
      </w:tr>
      <w:tr>
        <w:tc>
          <w:tcPr>
            <w:tcW w:type="dxa" w:w="3389"/>
            <w:vAlign w:val="center"/>
          </w:tcPr>
          <w:p>
            <w:r/>
            <w:r>
              <w:rPr>
                <w:b w:val="0"/>
                <w:sz w:val="18"/>
              </w:rPr>
              <w:t>PENDING</w:t>
            </w:r>
          </w:p>
        </w:tc>
        <w:tc>
          <w:tcPr>
            <w:tcW w:type="dxa" w:w="3389"/>
            <w:vAlign w:val="center"/>
          </w:tcPr>
          <w:p>
            <w:r/>
            <w:r>
              <w:rPr>
                <w:b w:val="0"/>
                <w:sz w:val="18"/>
              </w:rPr>
              <w:t>Requires actual execution, measurement, or review.</w:t>
            </w:r>
          </w:p>
        </w:tc>
        <w:tc>
          <w:tcPr>
            <w:tcW w:type="dxa" w:w="3389"/>
            <w:vAlign w:val="center"/>
          </w:tcPr>
          <w:p>
            <w:r/>
            <w:r>
              <w:rPr>
                <w:b w:val="0"/>
                <w:sz w:val="18"/>
              </w:rPr>
              <w:t>Yes, but not as a demonstrated result.</w:t>
            </w:r>
          </w:p>
        </w:tc>
      </w:tr>
      <w:tr>
        <w:tc>
          <w:tcPr>
            <w:tcW w:type="dxa" w:w="3389"/>
            <w:vAlign w:val="center"/>
          </w:tcPr>
          <w:p>
            <w:r/>
            <w:r>
              <w:rPr>
                <w:b w:val="0"/>
                <w:sz w:val="18"/>
              </w:rPr>
              <w:t>UNKNOWN</w:t>
            </w:r>
          </w:p>
        </w:tc>
        <w:tc>
          <w:tcPr>
            <w:tcW w:type="dxa" w:w="3389"/>
            <w:vAlign w:val="center"/>
          </w:tcPr>
          <w:p>
            <w:r/>
            <w:r>
              <w:rPr>
                <w:b w:val="0"/>
                <w:sz w:val="18"/>
              </w:rPr>
              <w:t>Not currently resolved.</w:t>
            </w:r>
          </w:p>
        </w:tc>
        <w:tc>
          <w:tcPr>
            <w:tcW w:type="dxa" w:w="3389"/>
            <w:vAlign w:val="center"/>
          </w:tcPr>
          <w:p>
            <w:r/>
            <w:r>
              <w:rPr>
                <w:b w:val="0"/>
                <w:sz w:val="18"/>
              </w:rPr>
              <w:t>Yes, where material.</w:t>
            </w:r>
          </w:p>
        </w:tc>
      </w:tr>
      <w:tr>
        <w:tc>
          <w:tcPr>
            <w:tcW w:type="dxa" w:w="3389"/>
            <w:vAlign w:val="center"/>
          </w:tcPr>
          <w:p>
            <w:r/>
            <w:r>
              <w:rPr>
                <w:b w:val="0"/>
                <w:sz w:val="18"/>
              </w:rPr>
              <w:t>FAIL</w:t>
            </w:r>
          </w:p>
        </w:tc>
        <w:tc>
          <w:tcPr>
            <w:tcW w:type="dxa" w:w="3389"/>
            <w:vAlign w:val="center"/>
          </w:tcPr>
          <w:p>
            <w:r/>
            <w:r>
              <w:rPr>
                <w:b w:val="0"/>
                <w:sz w:val="18"/>
              </w:rPr>
              <w:t>Pre-registered rule demonstrably violated.</w:t>
            </w:r>
          </w:p>
        </w:tc>
        <w:tc>
          <w:tcPr>
            <w:tcW w:type="dxa" w:w="3389"/>
            <w:vAlign w:val="center"/>
          </w:tcPr>
          <w:p>
            <w:r/>
            <w:r>
              <w:rPr>
                <w:b w:val="0"/>
                <w:sz w:val="18"/>
              </w:rPr>
              <w:t>Yes, and blocking.</w:t>
            </w:r>
          </w:p>
        </w:tc>
      </w:tr>
    </w:tbl>
    <w:p/>
    <w:p>
      <w:pPr>
        <w:pStyle w:val="Heading1"/>
      </w:pPr>
      <w:r>
        <w:t>8. Launch-closure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Gate</w:t>
            </w:r>
          </w:p>
        </w:tc>
        <w:tc>
          <w:tcPr>
            <w:tcW w:type="dxa" w:w="3389"/>
            <w:vAlign w:val="center"/>
            <w:shd w:fill="D9E2F3"/>
          </w:tcPr>
          <w:p>
            <w:r/>
            <w:r>
              <w:rPr>
                <w:b/>
                <w:sz w:val="18"/>
              </w:rPr>
              <w:t>Question</w:t>
            </w:r>
          </w:p>
        </w:tc>
        <w:tc>
          <w:tcPr>
            <w:tcW w:type="dxa" w:w="3389"/>
            <w:vAlign w:val="center"/>
            <w:shd w:fill="D9E2F3"/>
          </w:tcPr>
          <w:p>
            <w:r/>
            <w:r>
              <w:rPr>
                <w:b/>
                <w:sz w:val="18"/>
              </w:rPr>
              <w:t>Blocking condition</w:t>
            </w:r>
          </w:p>
        </w:tc>
      </w:tr>
      <w:tr>
        <w:tc>
          <w:tcPr>
            <w:tcW w:type="dxa" w:w="3389"/>
            <w:vAlign w:val="center"/>
          </w:tcPr>
          <w:p>
            <w:r/>
            <w:r>
              <w:rPr>
                <w:b w:val="0"/>
                <w:sz w:val="18"/>
              </w:rPr>
              <w:t>G1 Requirements</w:t>
            </w:r>
          </w:p>
        </w:tc>
        <w:tc>
          <w:tcPr>
            <w:tcW w:type="dxa" w:w="3389"/>
            <w:vAlign w:val="center"/>
          </w:tcPr>
          <w:p>
            <w:r/>
            <w:r>
              <w:rPr>
                <w:b w:val="0"/>
                <w:sz w:val="18"/>
              </w:rPr>
              <w:t>Is the mission/analysis requirement explicit?</w:t>
            </w:r>
          </w:p>
        </w:tc>
        <w:tc>
          <w:tcPr>
            <w:tcW w:type="dxa" w:w="3389"/>
            <w:vAlign w:val="center"/>
          </w:tcPr>
          <w:p>
            <w:r/>
            <w:r>
              <w:rPr>
                <w:b w:val="0"/>
                <w:sz w:val="18"/>
              </w:rPr>
              <w:t>No defined target or acceptance criterion.</w:t>
            </w:r>
          </w:p>
        </w:tc>
      </w:tr>
      <w:tr>
        <w:tc>
          <w:tcPr>
            <w:tcW w:type="dxa" w:w="3389"/>
            <w:vAlign w:val="center"/>
          </w:tcPr>
          <w:p>
            <w:r/>
            <w:r>
              <w:rPr>
                <w:b w:val="0"/>
                <w:sz w:val="18"/>
              </w:rPr>
              <w:t>G2 Inputs</w:t>
            </w:r>
          </w:p>
        </w:tc>
        <w:tc>
          <w:tcPr>
            <w:tcW w:type="dxa" w:w="3389"/>
            <w:vAlign w:val="center"/>
          </w:tcPr>
          <w:p>
            <w:r/>
            <w:r>
              <w:rPr>
                <w:b w:val="0"/>
                <w:sz w:val="18"/>
              </w:rPr>
              <w:t>Can every consequential input be located?</w:t>
            </w:r>
          </w:p>
        </w:tc>
        <w:tc>
          <w:tcPr>
            <w:tcW w:type="dxa" w:w="3389"/>
            <w:vAlign w:val="center"/>
          </w:tcPr>
          <w:p>
            <w:r/>
            <w:r>
              <w:rPr>
                <w:b w:val="0"/>
                <w:sz w:val="18"/>
              </w:rPr>
              <w:t>Fabricated, missing, or untraceable critical input.</w:t>
            </w:r>
          </w:p>
        </w:tc>
      </w:tr>
      <w:tr>
        <w:tc>
          <w:tcPr>
            <w:tcW w:type="dxa" w:w="3389"/>
            <w:vAlign w:val="center"/>
          </w:tcPr>
          <w:p>
            <w:r/>
            <w:r>
              <w:rPr>
                <w:b w:val="0"/>
                <w:sz w:val="18"/>
              </w:rPr>
              <w:t>G3 Model</w:t>
            </w:r>
          </w:p>
        </w:tc>
        <w:tc>
          <w:tcPr>
            <w:tcW w:type="dxa" w:w="3389"/>
            <w:vAlign w:val="center"/>
          </w:tcPr>
          <w:p>
            <w:r/>
            <w:r>
              <w:rPr>
                <w:b w:val="0"/>
                <w:sz w:val="18"/>
              </w:rPr>
              <w:t>Do transformations obey domain rules?</w:t>
            </w:r>
          </w:p>
        </w:tc>
        <w:tc>
          <w:tcPr>
            <w:tcW w:type="dxa" w:w="3389"/>
            <w:vAlign w:val="center"/>
          </w:tcPr>
          <w:p>
            <w:r/>
            <w:r>
              <w:rPr>
                <w:b w:val="0"/>
                <w:sz w:val="18"/>
              </w:rPr>
              <w:t>Dimensional or logical inconsistency.</w:t>
            </w:r>
          </w:p>
        </w:tc>
      </w:tr>
      <w:tr>
        <w:tc>
          <w:tcPr>
            <w:tcW w:type="dxa" w:w="3389"/>
            <w:vAlign w:val="center"/>
          </w:tcPr>
          <w:p>
            <w:r/>
            <w:r>
              <w:rPr>
                <w:b w:val="0"/>
                <w:sz w:val="18"/>
              </w:rPr>
              <w:t>G4 Closure</w:t>
            </w:r>
          </w:p>
        </w:tc>
        <w:tc>
          <w:tcPr>
            <w:tcW w:type="dxa" w:w="3389"/>
            <w:vAlign w:val="center"/>
          </w:tcPr>
          <w:p>
            <w:r/>
            <w:r>
              <w:rPr>
                <w:b w:val="0"/>
                <w:sz w:val="18"/>
              </w:rPr>
              <w:t>Do budgets/state transitions close?</w:t>
            </w:r>
          </w:p>
        </w:tc>
        <w:tc>
          <w:tcPr>
            <w:tcW w:type="dxa" w:w="3389"/>
            <w:vAlign w:val="center"/>
          </w:tcPr>
          <w:p>
            <w:r/>
            <w:r>
              <w:rPr>
                <w:b w:val="0"/>
                <w:sz w:val="18"/>
              </w:rPr>
              <w:t>Budget or state mismatch.</w:t>
            </w:r>
          </w:p>
        </w:tc>
      </w:tr>
      <w:tr>
        <w:tc>
          <w:tcPr>
            <w:tcW w:type="dxa" w:w="3389"/>
            <w:vAlign w:val="center"/>
          </w:tcPr>
          <w:p>
            <w:r/>
            <w:r>
              <w:rPr>
                <w:b w:val="0"/>
                <w:sz w:val="18"/>
              </w:rPr>
              <w:t>G5 External reality</w:t>
            </w:r>
          </w:p>
        </w:tc>
        <w:tc>
          <w:tcPr>
            <w:tcW w:type="dxa" w:w="3389"/>
            <w:vAlign w:val="center"/>
          </w:tcPr>
          <w:p>
            <w:r/>
            <w:r>
              <w:rPr>
                <w:b w:val="0"/>
                <w:sz w:val="18"/>
              </w:rPr>
              <w:t>Do independent sources support critical claims?</w:t>
            </w:r>
          </w:p>
        </w:tc>
        <w:tc>
          <w:tcPr>
            <w:tcW w:type="dxa" w:w="3389"/>
            <w:vAlign w:val="center"/>
          </w:tcPr>
          <w:p>
            <w:r/>
            <w:r>
              <w:rPr>
                <w:b w:val="0"/>
                <w:sz w:val="18"/>
              </w:rPr>
              <w:t>Source fabrication or contradiction.</w:t>
            </w:r>
          </w:p>
        </w:tc>
      </w:tr>
      <w:tr>
        <w:tc>
          <w:tcPr>
            <w:tcW w:type="dxa" w:w="3389"/>
            <w:vAlign w:val="center"/>
          </w:tcPr>
          <w:p>
            <w:r/>
            <w:r>
              <w:rPr>
                <w:b w:val="0"/>
                <w:sz w:val="18"/>
              </w:rPr>
              <w:t>G6 Countermodel</w:t>
            </w:r>
          </w:p>
        </w:tc>
        <w:tc>
          <w:tcPr>
            <w:tcW w:type="dxa" w:w="3389"/>
            <w:vAlign w:val="center"/>
          </w:tcPr>
          <w:p>
            <w:r/>
            <w:r>
              <w:rPr>
                <w:b w:val="0"/>
                <w:sz w:val="18"/>
              </w:rPr>
              <w:t>Can a plausible alternative defeat the result?</w:t>
            </w:r>
          </w:p>
        </w:tc>
        <w:tc>
          <w:tcPr>
            <w:tcW w:type="dxa" w:w="3389"/>
            <w:vAlign w:val="center"/>
          </w:tcPr>
          <w:p>
            <w:r/>
            <w:r>
              <w:rPr>
                <w:b w:val="0"/>
                <w:sz w:val="18"/>
              </w:rPr>
              <w:t>No counterargument analyzed.</w:t>
            </w:r>
          </w:p>
        </w:tc>
      </w:tr>
      <w:tr>
        <w:tc>
          <w:tcPr>
            <w:tcW w:type="dxa" w:w="3389"/>
            <w:vAlign w:val="center"/>
          </w:tcPr>
          <w:p>
            <w:r/>
            <w:r>
              <w:rPr>
                <w:b w:val="0"/>
                <w:sz w:val="18"/>
              </w:rPr>
              <w:t>G7 Reproducibility</w:t>
            </w:r>
          </w:p>
        </w:tc>
        <w:tc>
          <w:tcPr>
            <w:tcW w:type="dxa" w:w="3389"/>
            <w:vAlign w:val="center"/>
          </w:tcPr>
          <w:p>
            <w:r/>
            <w:r>
              <w:rPr>
                <w:b w:val="0"/>
                <w:sz w:val="18"/>
              </w:rPr>
              <w:t>Can another operator rerun it?</w:t>
            </w:r>
          </w:p>
        </w:tc>
        <w:tc>
          <w:tcPr>
            <w:tcW w:type="dxa" w:w="3389"/>
            <w:vAlign w:val="center"/>
          </w:tcPr>
          <w:p>
            <w:r/>
            <w:r>
              <w:rPr>
                <w:b w:val="0"/>
                <w:sz w:val="18"/>
              </w:rPr>
              <w:t>Missing method, code, data, or inputs.</w:t>
            </w:r>
          </w:p>
        </w:tc>
      </w:tr>
      <w:tr>
        <w:tc>
          <w:tcPr>
            <w:tcW w:type="dxa" w:w="3389"/>
            <w:vAlign w:val="center"/>
          </w:tcPr>
          <w:p>
            <w:r/>
            <w:r>
              <w:rPr>
                <w:b w:val="0"/>
                <w:sz w:val="18"/>
              </w:rPr>
              <w:t>G8 Promotion</w:t>
            </w:r>
          </w:p>
        </w:tc>
        <w:tc>
          <w:tcPr>
            <w:tcW w:type="dxa" w:w="3389"/>
            <w:vAlign w:val="center"/>
          </w:tcPr>
          <w:p>
            <w:r/>
            <w:r>
              <w:rPr>
                <w:b w:val="0"/>
                <w:sz w:val="18"/>
              </w:rPr>
              <w:t>Is evidence strong enough for the declared status?</w:t>
            </w:r>
          </w:p>
        </w:tc>
        <w:tc>
          <w:tcPr>
            <w:tcW w:type="dxa" w:w="3389"/>
            <w:vAlign w:val="center"/>
          </w:tcPr>
          <w:p>
            <w:r/>
            <w:r>
              <w:rPr>
                <w:b w:val="0"/>
                <w:sz w:val="18"/>
              </w:rPr>
              <w:t>Pending evidence presented as fact.</w:t>
            </w:r>
          </w:p>
        </w:tc>
      </w:tr>
    </w:tbl>
    <w:p/>
    <w:p>
      <w:pPr>
        <w:pStyle w:val="Heading1"/>
      </w:pPr>
      <w:r>
        <w:t>9. Replication packet</w:t>
      </w:r>
    </w:p>
    <w:p>
      <w:r>
        <w:t>A replication packet should contain a second SSO design and a second merger analysis with new assumptions/data, not merely reword the first packet. The operator receives the source ledger, scripts, frozen criteria, and artifact template. The operator independently runs the calculations and records deviations.</w:t>
      </w:r>
    </w:p>
    <w:p>
      <w:pPr>
        <w:pStyle w:val="Heading1"/>
      </w:pPr>
      <w:r>
        <w:t>10. Review roles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Reviewer</w:t>
            </w:r>
          </w:p>
        </w:tc>
        <w:tc>
          <w:tcPr>
            <w:tcW w:type="dxa" w:w="3389"/>
            <w:vAlign w:val="center"/>
            <w:shd w:fill="D9E2F3"/>
          </w:tcPr>
          <w:p>
            <w:r/>
            <w:r>
              <w:rPr>
                <w:b/>
                <w:sz w:val="18"/>
              </w:rPr>
              <w:t>Required capability</w:t>
            </w:r>
          </w:p>
        </w:tc>
        <w:tc>
          <w:tcPr>
            <w:tcW w:type="dxa" w:w="3389"/>
            <w:vAlign w:val="center"/>
            <w:shd w:fill="D9E2F3"/>
          </w:tcPr>
          <w:p>
            <w:r/>
            <w:r>
              <w:rPr>
                <w:b/>
                <w:sz w:val="18"/>
              </w:rPr>
              <w:t>Blindness</w:t>
            </w:r>
          </w:p>
        </w:tc>
      </w:tr>
      <w:tr>
        <w:tc>
          <w:tcPr>
            <w:tcW w:type="dxa" w:w="3389"/>
            <w:vAlign w:val="center"/>
          </w:tcPr>
          <w:p>
            <w:r/>
            <w:r>
              <w:rPr>
                <w:b w:val="0"/>
                <w:sz w:val="18"/>
              </w:rPr>
              <w:t>Aerospace reviewer</w:t>
            </w:r>
          </w:p>
        </w:tc>
        <w:tc>
          <w:tcPr>
            <w:tcW w:type="dxa" w:w="3389"/>
            <w:vAlign w:val="center"/>
          </w:tcPr>
          <w:p>
            <w:r/>
            <w:r>
              <w:rPr>
                <w:b w:val="0"/>
                <w:sz w:val="18"/>
              </w:rPr>
              <w:t>Orbital mechanics / mission design</w:t>
            </w:r>
          </w:p>
        </w:tc>
        <w:tc>
          <w:tcPr>
            <w:tcW w:type="dxa" w:w="3389"/>
            <w:vAlign w:val="center"/>
          </w:tcPr>
          <w:p>
            <w:r/>
            <w:r>
              <w:rPr>
                <w:b w:val="0"/>
                <w:sz w:val="18"/>
              </w:rPr>
              <w:t>Should not see which workflow generated the artifact before grading.</w:t>
            </w:r>
          </w:p>
        </w:tc>
      </w:tr>
      <w:tr>
        <w:tc>
          <w:tcPr>
            <w:tcW w:type="dxa" w:w="3389"/>
            <w:vAlign w:val="center"/>
          </w:tcPr>
          <w:p>
            <w:r/>
            <w:r>
              <w:rPr>
                <w:b w:val="0"/>
                <w:sz w:val="18"/>
              </w:rPr>
              <w:t>Antitrust reviewer</w:t>
            </w:r>
          </w:p>
        </w:tc>
        <w:tc>
          <w:tcPr>
            <w:tcW w:type="dxa" w:w="3389"/>
            <w:vAlign w:val="center"/>
          </w:tcPr>
          <w:p>
            <w:r/>
            <w:r>
              <w:rPr>
                <w:b w:val="0"/>
                <w:sz w:val="18"/>
              </w:rPr>
              <w:t>Merger law + industrial organization</w:t>
            </w:r>
          </w:p>
        </w:tc>
        <w:tc>
          <w:tcPr>
            <w:tcW w:type="dxa" w:w="3389"/>
            <w:vAlign w:val="center"/>
          </w:tcPr>
          <w:p>
            <w:r/>
            <w:r>
              <w:rPr>
                <w:b w:val="0"/>
                <w:sz w:val="18"/>
              </w:rPr>
              <w:t>Should not see workflow identity before grading.</w:t>
            </w:r>
          </w:p>
        </w:tc>
      </w:tr>
      <w:tr>
        <w:tc>
          <w:tcPr>
            <w:tcW w:type="dxa" w:w="3389"/>
            <w:vAlign w:val="center"/>
          </w:tcPr>
          <w:p>
            <w:r/>
            <w:r>
              <w:rPr>
                <w:b w:val="0"/>
                <w:sz w:val="18"/>
              </w:rPr>
              <w:t>Method reviewer</w:t>
            </w:r>
          </w:p>
        </w:tc>
        <w:tc>
          <w:tcPr>
            <w:tcW w:type="dxa" w:w="3389"/>
            <w:vAlign w:val="center"/>
          </w:tcPr>
          <w:p>
            <w:r/>
            <w:r>
              <w:rPr>
                <w:b w:val="0"/>
                <w:sz w:val="18"/>
              </w:rPr>
              <w:t>Reproducibility / experimental design</w:t>
            </w:r>
          </w:p>
        </w:tc>
        <w:tc>
          <w:tcPr>
            <w:tcW w:type="dxa" w:w="3389"/>
            <w:vAlign w:val="center"/>
          </w:tcPr>
          <w:p>
            <w:r/>
            <w:r>
              <w:rPr>
                <w:b w:val="0"/>
                <w:sz w:val="18"/>
              </w:rPr>
              <w:t>Checks whether the experiment actually tests the claimed improvement.</w:t>
            </w:r>
          </w:p>
        </w:tc>
      </w:tr>
      <w:tr>
        <w:tc>
          <w:tcPr>
            <w:tcW w:type="dxa" w:w="3389"/>
            <w:vAlign w:val="center"/>
          </w:tcPr>
          <w:p>
            <w:r/>
            <w:r>
              <w:rPr>
                <w:b w:val="0"/>
                <w:sz w:val="18"/>
              </w:rPr>
              <w:t>Second operator</w:t>
            </w:r>
          </w:p>
        </w:tc>
        <w:tc>
          <w:tcPr>
            <w:tcW w:type="dxa" w:w="3389"/>
            <w:vAlign w:val="center"/>
          </w:tcPr>
          <w:p>
            <w:r/>
            <w:r>
              <w:rPr>
                <w:b w:val="0"/>
                <w:sz w:val="18"/>
              </w:rPr>
              <w:t>Can execute scripts and retrieve sources</w:t>
            </w:r>
          </w:p>
        </w:tc>
        <w:tc>
          <w:tcPr>
            <w:tcW w:type="dxa" w:w="3389"/>
            <w:vAlign w:val="center"/>
          </w:tcPr>
          <w:p>
            <w:r/>
            <w:r>
              <w:rPr>
                <w:b w:val="0"/>
                <w:sz w:val="18"/>
              </w:rPr>
              <w:t>Runs replication without relying on the original operator.</w:t>
            </w:r>
          </w:p>
        </w:tc>
      </w:tr>
    </w:tbl>
    <w:p/>
    <w:p>
      <w:pPr>
        <w:pStyle w:val="Heading1"/>
      </w:pPr>
      <w:r>
        <w:t>11. What is already demonstrated in this packet</w:t>
      </w:r>
    </w:p>
    <w:p>
      <w:pPr>
        <w:pStyle w:val="ListBullet"/>
      </w:pPr>
      <w:r>
        <w:t>The common substrate is explicitly stated and falsifiable.</w:t>
      </w:r>
    </w:p>
    <w:p>
      <w:pPr>
        <w:pStyle w:val="ListBullet"/>
      </w:pPr>
      <w:r>
        <w:t>The AURORA-6 orbital arithmetic and access simulation have been executed once in a reproducible script.</w:t>
      </w:r>
    </w:p>
    <w:p>
      <w:pPr>
        <w:pStyle w:val="ListBullet"/>
      </w:pPr>
      <w:r>
        <w:t>The synthetic HelixChem/Northbond HHI arithmetic closes from its stated shares.</w:t>
      </w:r>
    </w:p>
    <w:p>
      <w:pPr>
        <w:pStyle w:val="ListBullet"/>
      </w:pPr>
      <w:r>
        <w:t>Real statutes, agency guidance, and case authorities are named in the source ledgers.</w:t>
      </w:r>
    </w:p>
    <w:p>
      <w:pPr>
        <w:pStyle w:val="ListBullet"/>
      </w:pPr>
      <w:r>
        <w:t>Execution-based efficacy claims remain pending.</w:t>
      </w:r>
    </w:p>
    <w:p>
      <w:pPr>
        <w:pStyle w:val="Heading1"/>
      </w:pPr>
      <w:r>
        <w:t>12. What remains to be executed</w:t>
      </w:r>
    </w:p>
    <w:p>
      <w:pPr>
        <w:pStyle w:val="ListBullet"/>
      </w:pPr>
      <w:r>
        <w:t>Independent ablation runs.</w:t>
      </w:r>
    </w:p>
    <w:p>
      <w:pPr>
        <w:pStyle w:val="ListBullet"/>
      </w:pPr>
      <w:r>
        <w:t>Clean-artifact false-positive runs.</w:t>
      </w:r>
    </w:p>
    <w:p>
      <w:pPr>
        <w:pStyle w:val="ListBullet"/>
      </w:pPr>
      <w:r>
        <w:t>Blind human review.</w:t>
      </w:r>
    </w:p>
    <w:p>
      <w:pPr>
        <w:pStyle w:val="ListBullet"/>
      </w:pPr>
      <w:r>
        <w:t>Second-operator replication.</w:t>
      </w:r>
    </w:p>
    <w:p>
      <w:pPr>
        <w:pStyle w:val="ListBullet"/>
      </w:pPr>
      <w:r>
        <w:t>Domain-specific higher-fidelity models: launch trajectory, drag, attitude, thermal, real sensor FOV; actual market data, customer substitution, and efficiencies evidence.</w:t>
      </w:r>
    </w:p>
    <w:p>
      <w:pPr>
        <w:pStyle w:val="Heading1"/>
      </w:pPr>
      <w:r>
        <w:t>13. Stop rule</w:t>
      </w:r>
    </w:p>
    <w:p>
      <w:r>
        <w:t>Do not expand the architecture after a critical closure failure. Repair or narrow the failing claim, rerun the affected gate, and preserve the failed result in the ledger. Architecture expansion is permitted only after the current gate passes or the failure is explicitly accepted as a scope boundary.</w:t>
      </w:r>
    </w:p>
    <w:p>
      <w:pPr>
        <w:pStyle w:val="Heading1"/>
      </w:pPr>
      <w:r>
        <w:t>Source ledger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2F3"/>
          </w:tcPr>
          <w:p>
            <w:r/>
            <w:r>
              <w:rPr>
                <w:b/>
                <w:sz w:val="18"/>
              </w:rPr>
              <w:t>ID</w:t>
            </w:r>
          </w:p>
        </w:tc>
        <w:tc>
          <w:tcPr>
            <w:tcW w:type="dxa" w:w="2541"/>
            <w:vAlign w:val="center"/>
            <w:shd w:fill="D9E2F3"/>
          </w:tcPr>
          <w:p>
            <w:r/>
            <w:r>
              <w:rPr>
                <w:b/>
                <w:sz w:val="18"/>
              </w:rPr>
              <w:t>Authority</w:t>
            </w:r>
          </w:p>
        </w:tc>
        <w:tc>
          <w:tcPr>
            <w:tcW w:type="dxa" w:w="2541"/>
            <w:vAlign w:val="center"/>
            <w:shd w:fill="D9E2F3"/>
          </w:tcPr>
          <w:p>
            <w:r/>
            <w:r>
              <w:rPr>
                <w:b/>
                <w:sz w:val="18"/>
              </w:rPr>
              <w:t>URL</w:t>
            </w:r>
          </w:p>
        </w:tc>
        <w:tc>
          <w:tcPr>
            <w:tcW w:type="dxa" w:w="2541"/>
            <w:vAlign w:val="center"/>
            <w:shd w:fill="D9E2F3"/>
          </w:tcPr>
          <w:p>
            <w:r/>
            <w:r>
              <w:rPr>
                <w:b/>
                <w:sz w:val="18"/>
              </w:rPr>
              <w:t>Use</w:t>
            </w:r>
          </w:p>
        </w:tc>
      </w:tr>
      <w:tr>
        <w:tc>
          <w:tcPr>
            <w:tcW w:type="dxa" w:w="2541"/>
            <w:vAlign w:val="center"/>
          </w:tcPr>
          <w:p>
            <w:r/>
            <w:r>
              <w:rPr>
                <w:b w:val="0"/>
                <w:sz w:val="18"/>
              </w:rPr>
              <w:t>P1</w:t>
            </w:r>
          </w:p>
        </w:tc>
        <w:tc>
          <w:tcPr>
            <w:tcW w:type="dxa" w:w="2541"/>
            <w:vAlign w:val="center"/>
          </w:tcPr>
          <w:p>
            <w:r/>
            <w:r>
              <w:rPr>
                <w:b w:val="0"/>
                <w:sz w:val="18"/>
              </w:rPr>
              <w:t>DOJ 2023 Merger Guidelines</w:t>
            </w:r>
          </w:p>
        </w:tc>
        <w:tc>
          <w:tcPr>
            <w:tcW w:type="dxa" w:w="2541"/>
            <w:vAlign w:val="center"/>
          </w:tcPr>
          <w:p>
            <w:r/>
            <w:r>
              <w:rPr>
                <w:b w:val="0"/>
                <w:sz w:val="18"/>
              </w:rPr>
              <w:t>https://www.justice.gov/atr/2023-merger-guidelines</w:t>
            </w:r>
          </w:p>
        </w:tc>
        <w:tc>
          <w:tcPr>
            <w:tcW w:type="dxa" w:w="2541"/>
            <w:vAlign w:val="center"/>
          </w:tcPr>
          <w:p>
            <w:r/>
            <w:r>
              <w:rPr>
                <w:b w:val="0"/>
                <w:sz w:val="18"/>
              </w:rPr>
              <w:t>Current agency framework used for the legal test.</w:t>
            </w:r>
          </w:p>
        </w:tc>
      </w:tr>
      <w:tr>
        <w:tc>
          <w:tcPr>
            <w:tcW w:type="dxa" w:w="2541"/>
            <w:vAlign w:val="center"/>
          </w:tcPr>
          <w:p>
            <w:r/>
            <w:r>
              <w:rPr>
                <w:b w:val="0"/>
                <w:sz w:val="18"/>
              </w:rPr>
              <w:t>P2</w:t>
            </w:r>
          </w:p>
        </w:tc>
        <w:tc>
          <w:tcPr>
            <w:tcW w:type="dxa" w:w="2541"/>
            <w:vAlign w:val="center"/>
          </w:tcPr>
          <w:p>
            <w:r/>
            <w:r>
              <w:rPr>
                <w:b w:val="0"/>
                <w:sz w:val="18"/>
              </w:rPr>
              <w:t>NASA Sun-Synchronous Orbit example</w:t>
            </w:r>
          </w:p>
        </w:tc>
        <w:tc>
          <w:tcPr>
            <w:tcW w:type="dxa" w:w="2541"/>
            <w:vAlign w:val="center"/>
          </w:tcPr>
          <w:p>
            <w:r/>
            <w:r>
              <w:rPr>
                <w:b w:val="0"/>
                <w:sz w:val="18"/>
              </w:rPr>
              <w:t>https://ntrs.nasa.gov/api/citations/20205004141/downloads/Introduction%20to%20Orbitalaft%20Engineers%20CHARTS%20REV%20A.pdf</w:t>
            </w:r>
          </w:p>
        </w:tc>
        <w:tc>
          <w:tcPr>
            <w:tcW w:type="dxa" w:w="2541"/>
            <w:vAlign w:val="center"/>
          </w:tcPr>
          <w:p>
            <w:r/>
            <w:r>
              <w:rPr>
                <w:b w:val="0"/>
                <w:sz w:val="18"/>
              </w:rPr>
              <w:t>Physics source for SSO closure.</w:t>
            </w:r>
          </w:p>
        </w:tc>
      </w:tr>
      <w:tr>
        <w:tc>
          <w:tcPr>
            <w:tcW w:type="dxa" w:w="2541"/>
            <w:vAlign w:val="center"/>
          </w:tcPr>
          <w:p>
            <w:r/>
            <w:r>
              <w:rPr>
                <w:b w:val="0"/>
                <w:sz w:val="18"/>
              </w:rPr>
              <w:t>P3</w:t>
            </w:r>
          </w:p>
        </w:tc>
        <w:tc>
          <w:tcPr>
            <w:tcW w:type="dxa" w:w="2541"/>
            <w:vAlign w:val="center"/>
          </w:tcPr>
          <w:p>
            <w:r/>
            <w:r>
              <w:rPr>
                <w:b w:val="0"/>
                <w:sz w:val="18"/>
              </w:rPr>
              <w:t>SpaceX Rideshare</w:t>
            </w:r>
          </w:p>
        </w:tc>
        <w:tc>
          <w:tcPr>
            <w:tcW w:type="dxa" w:w="2541"/>
            <w:vAlign w:val="center"/>
          </w:tcPr>
          <w:p>
            <w:r/>
            <w:r>
              <w:rPr>
                <w:b w:val="0"/>
                <w:sz w:val="18"/>
              </w:rPr>
              <w:t>https://new.spacex.com/rideshare</w:t>
            </w:r>
          </w:p>
        </w:tc>
        <w:tc>
          <w:tcPr>
            <w:tcW w:type="dxa" w:w="2541"/>
            <w:vAlign w:val="center"/>
          </w:tcPr>
          <w:p>
            <w:r/>
            <w:r>
              <w:rPr>
                <w:b w:val="0"/>
                <w:sz w:val="18"/>
              </w:rPr>
              <w:t>Launch program facts used in the aerospace artifact.</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BlackSwanLabz / AIL-MoIE dual-domain test | 2026-09-27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6"/>
      </w:rPr>
      <w:t>K0 + LAUNCH CLOSURE / 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04_K0_Launch_Closure_Test_Protocol</dc:title>
  <dc:subject>Evidence-gated AIL/MoIE test artifact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