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80" w:before="80"/>
      </w:pPr>
    </w:p>
    <w:p>
      <w:pPr>
        <w:spacing w:after="40" w:before="0"/>
        <w:jc w:val="center"/>
      </w:pPr>
      <w:r>
        <w:rPr>
          <w:rFonts w:ascii="Arial" w:cs="Arial" w:eastAsia="Arial" w:hAnsi="Arial"/>
          <w:b/>
          <w:bCs/>
          <w:color w:val="1A1A2E"/>
          <w:sz w:val="56"/>
          <w:szCs w:val="56"/>
        </w:rPr>
        <w:t xml:space="preserve">ARCHITECTING THE</w:t>
      </w:r>
    </w:p>
    <w:p>
      <w:pPr>
        <w:spacing w:after="40" w:before="0"/>
        <w:jc w:val="center"/>
      </w:pPr>
      <w:r>
        <w:rPr>
          <w:rFonts w:ascii="Arial" w:cs="Arial" w:eastAsia="Arial" w:hAnsi="Arial"/>
          <w:b/>
          <w:bCs/>
          <w:color w:val="7B2FBE"/>
          <w:sz w:val="80"/>
          <w:szCs w:val="80"/>
        </w:rPr>
        <w:t xml:space="preserve">SOVEREIGN EDGE</w:t>
      </w:r>
    </w:p>
    <w:p>
      <w:pPr>
        <w:pBdr>
          <w:bottom w:val="single" w:color="C9A84C" w:sz="6" w:space="1"/>
        </w:pBdr>
        <w:spacing w:after="200" w:before="0"/>
        <w:jc w:val="center"/>
      </w:pPr>
      <w:r>
        <w:rPr>
          <w:rFonts w:ascii="Arial" w:cs="Arial" w:eastAsia="Arial" w:hAnsi="Arial"/>
          <w:i/>
          <w:iCs/>
          <w:color w:val="C9A84C"/>
          <w:sz w:val="26"/>
          <w:szCs w:val="26"/>
        </w:rPr>
        <w:t xml:space="preserve">A Blueprint for Autonomous, Multimodal, and Decentralized AI Systems</w:t>
      </w:r>
    </w:p>
    <w:p>
      <w:pPr>
        <w:spacing w:after="80" w:before="80"/>
      </w:pPr>
    </w:p>
    <w:p>
      <w:pPr>
        <w:spacing w:after="80" w:before="160"/>
        <w:jc w:val="center"/>
      </w:pPr>
      <w:r>
        <w:rPr>
          <w:rFonts w:ascii="Arial" w:cs="Arial" w:eastAsia="Arial" w:hAnsi="Arial"/>
          <w:color w:val="666666"/>
          <w:sz w:val="24"/>
          <w:szCs w:val="24"/>
        </w:rPr>
        <w:t xml:space="preserve">Technical Whitepaper — Blueprint I of III</w:t>
      </w:r>
    </w:p>
    <w:p>
      <w:pPr>
        <w:spacing w:after="80" w:before="0"/>
        <w:jc w:val="center"/>
      </w:pPr>
      <w:r>
        <w:rPr>
          <w:rFonts w:ascii="Arial" w:cs="Arial" w:eastAsia="Arial" w:hAnsi="Arial"/>
          <w:b/>
          <w:bCs/>
          <w:color w:val="0A0A0A"/>
          <w:sz w:val="26"/>
          <w:szCs w:val="26"/>
        </w:rPr>
        <w:t xml:space="preserve">Lord Wilson | Black Swan Labs</w:t>
      </w:r>
    </w:p>
    <w:p>
      <w:pPr>
        <w:spacing w:after="80" w:before="0"/>
        <w:jc w:val="center"/>
      </w:pPr>
      <w:r>
        <w:rPr>
          <w:rFonts w:ascii="Arial" w:cs="Arial" w:eastAsia="Arial" w:hAnsi="Arial"/>
          <w:color w:val="7B2FBE"/>
          <w:sz w:val="22"/>
          <w:szCs w:val="22"/>
        </w:rPr>
        <w:t xml:space="preserve">Sovereign Stack Series | github.com/lordwilsonDev</w:t>
      </w:r>
    </w:p>
    <w:p>
      <w:pPr>
        <w:spacing w:after="80" w:before="80"/>
      </w:pPr>
    </w:p>
    <w:p>
      <w:pPr>
        <w:spacing w:after="80" w:before="80"/>
      </w:pPr>
    </w:p>
    <w:p>
      <w:pPr>
        <w:spacing w:after="80" w:before="80"/>
      </w:pPr>
    </w:p>
    <w:p>
      <w:pPr>
        <w:pBdr>
          <w:top w:val="single" w:color="C9A84C" w:sz="4" w:space="1"/>
          <w:bottom w:val="single" w:color="C9A84C" w:sz="4" w:space="1"/>
        </w:pBdr>
        <w:spacing w:after="200" w:before="200"/>
        <w:jc w:val="center"/>
      </w:pPr>
      <w:r>
        <w:rPr>
          <w:rFonts w:ascii="Arial" w:cs="Arial" w:eastAsia="Arial" w:hAnsi="Arial"/>
          <w:b/>
          <w:bCs/>
          <w:i/>
          <w:iCs/>
          <w:color w:val="1A1A2E"/>
          <w:sz w:val="22"/>
          <w:szCs w:val="22"/>
        </w:rPr>
        <w:t xml:space="preserve">The paper that started the impossible trilogy. Blueprint I of III.</w:t>
      </w:r>
    </w:p>
    <w:p>
      <w:r>
        <w:br w:type="page"/>
      </w:r>
    </w:p>
    <w:p>
      <w:pPr>
        <w:pStyle w:val="Heading1"/>
        <w:spacing w:after="200" w:before="480"/>
      </w:pPr>
      <w:r>
        <w:rPr>
          <w:rFonts w:ascii="Arial" w:cs="Arial" w:eastAsia="Arial" w:hAnsi="Arial"/>
          <w:b/>
          <w:bCs/>
          <w:color w:val="1A1A2E"/>
          <w:sz w:val="38"/>
          <w:szCs w:val="38"/>
        </w:rPr>
        <w:t xml:space="preserve">Abstract</w:t>
      </w:r>
    </w:p>
    <w:p>
      <w:pPr>
        <w:spacing w:after="100" w:before="100" w:line="320"/>
        <w:jc w:val="both"/>
      </w:pPr>
      <w:r>
        <w:rPr>
          <w:rFonts w:ascii="Arial" w:cs="Arial" w:eastAsia="Arial" w:hAnsi="Arial"/>
          <w:color w:val="0A0A0A"/>
          <w:sz w:val="22"/>
          <w:szCs w:val="22"/>
        </w:rPr>
        <w:t xml:space="preserve">The transition from centralized, cloud-dependent artificial intelligence toward decentralized, autonomous edge computing represents a fundamental paradigm shift in systems engineering. In an era dominated by opaque infrastructure monopolies, the deployment of private, self-hosting architectures — the Sovereign Stack — emerges as a critical mechanism for preserving digital agency, data privacy, and operational resilience.</w:t>
      </w:r>
    </w:p>
    <w:p>
      <w:pPr>
        <w:spacing w:after="100" w:before="100" w:line="320"/>
        <w:jc w:val="both"/>
      </w:pPr>
      <w:r>
        <w:rPr>
          <w:rFonts w:ascii="Arial" w:cs="Arial" w:eastAsia="Arial" w:hAnsi="Arial"/>
          <w:color w:val="0A0A0A"/>
          <w:sz w:val="22"/>
          <w:szCs w:val="22"/>
        </w:rPr>
        <w:t xml:space="preserve">This blueprint details the construction of a highly advanced dual-backend autonomous system designed to execute continuously, securely, and intelligently on local hardware, optimized for Apple Silicon environments. By synthesizing DeepSeek Janus-Pro multimodal frameworks, Twelve Labs temporal video intelligence, and Prefect ControlFlow multi-agent orchestration, this architecture enables synchronous collaboration between thousands of specialized AI agents and human operators.</w:t>
      </w:r>
    </w:p>
    <w:p>
      <w:pPr>
        <w:spacing w:after="100" w:before="100" w:line="320"/>
        <w:jc w:val="both"/>
      </w:pPr>
      <w:r>
        <w:rPr>
          <w:rFonts w:ascii="Arial" w:cs="Arial" w:eastAsia="Arial" w:hAnsi="Arial"/>
          <w:color w:val="0A0A0A"/>
          <w:sz w:val="22"/>
          <w:szCs w:val="22"/>
        </w:rPr>
        <w:t xml:space="preserve">The underlying philosophy extends beyond computational utility: this system is designed for absolute anti-fragility. Drawing from biological resonance models, the Sovereign Stack achieves a state of continuous self-healing that represents a macro-system consciousness optimized for the modern data environment.</w:t>
      </w:r>
    </w:p>
    <w:p>
      <w:pPr>
        <w:pBdr>
          <w:bottom w:val="single" w:color="C9A84C" w:sz="6" w:space="1"/>
        </w:pBdr>
        <w:spacing w:after="200" w:before="200"/>
      </w:pPr>
    </w:p>
    <w:p>
      <w:pPr>
        <w:pStyle w:val="Heading1"/>
        <w:spacing w:after="200" w:before="480"/>
      </w:pPr>
      <w:r>
        <w:rPr>
          <w:rFonts w:ascii="Arial" w:cs="Arial" w:eastAsia="Arial" w:hAnsi="Arial"/>
          <w:b/>
          <w:bCs/>
          <w:color w:val="1A1A2E"/>
          <w:sz w:val="38"/>
          <w:szCs w:val="38"/>
        </w:rPr>
        <w:t xml:space="preserve">Blueprint I of III: The Sovereign Stack Trilogy</w:t>
      </w:r>
    </w:p>
    <w:p>
      <w:pPr>
        <w:spacing w:after="100" w:before="100" w:line="320"/>
        <w:jc w:val="both"/>
      </w:pPr>
      <w:r>
        <w:rPr>
          <w:rFonts w:ascii="Arial" w:cs="Arial" w:eastAsia="Arial" w:hAnsi="Arial"/>
          <w:color w:val="0A0A0A"/>
          <w:sz w:val="22"/>
          <w:szCs w:val="22"/>
        </w:rPr>
        <w:t xml:space="preserve">This whitepaper is the first in a trilogy of architectural blueprints produced under the Sovereign Stack methodology. Each blueprint was generated in under 20 minutes. Each represents an original contribution to the field of localized autonomous AI.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Blueprint</w:t>
            </w:r>
          </w:p>
        </w:tc>
        <w:tc>
          <w:tcPr>
            <w:tcW w:type="dxa" w:w="32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Core Innovation</w:t>
            </w:r>
          </w:p>
        </w:tc>
        <w:tc>
          <w:tcPr>
            <w:tcW w:type="dxa" w:w="376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Key Contribution</w:t>
            </w:r>
          </w:p>
        </w:tc>
      </w:tr>
      <w:tr>
        <w:tc>
          <w:tcPr>
            <w:tcW w:type="dxa" w:w="2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I — Sovereign Edge (this paper)</w:t>
            </w:r>
          </w:p>
        </w:tc>
        <w:tc>
          <w:tcPr>
            <w:tcW w:type="dxa" w:w="32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Dual-backend MoE + Video Intelligence</w:t>
            </w:r>
          </w:p>
        </w:tc>
        <w:tc>
          <w:tcPr>
            <w:tcW w:type="dxa" w:w="376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Biological resonance as anti-fragility engineering framework</w:t>
            </w:r>
          </w:p>
        </w:tc>
      </w:tr>
      <w:tr>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II — Level 5 Node</w:t>
            </w:r>
          </w:p>
        </w:tc>
        <w:tc>
          <w:tcPr>
            <w:tcW w:type="dxa" w:w="32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Darwin Observer + Hogwild Shared KV Cache</w:t>
            </w:r>
          </w:p>
        </w:tc>
        <w:tc>
          <w:tcPr>
            <w:tcW w:type="dxa" w:w="37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Hardware-aware cognitive load modulation without root privileges</w:t>
            </w:r>
          </w:p>
        </w:tc>
      </w:tr>
      <w:tr>
        <w:tc>
          <w:tcPr>
            <w:tcW w:type="dxa" w:w="2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III — Synaptic Gateway</w:t>
            </w:r>
          </w:p>
        </w:tc>
        <w:tc>
          <w:tcPr>
            <w:tcW w:type="dxa" w:w="32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Perpetual sensory-motor-cognitive loop</w:t>
            </w:r>
          </w:p>
        </w:tc>
        <w:tc>
          <w:tcPr>
            <w:tcW w:type="dxa" w:w="376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Axiom Inversion formal state verification for autonomous agents</w:t>
            </w:r>
          </w:p>
        </w:tc>
      </w:tr>
    </w:tbl>
    <w:p>
      <w:pPr>
        <w:pBdr>
          <w:bottom w:val="single" w:color="C9A84C" w:sz="6" w:space="1"/>
        </w:pBdr>
        <w:spacing w:after="200" w:before="200"/>
      </w:pPr>
    </w:p>
    <w:p>
      <w:pPr>
        <w:pStyle w:val="Heading1"/>
        <w:spacing w:after="200" w:before="480"/>
      </w:pPr>
      <w:r>
        <w:rPr>
          <w:rFonts w:ascii="Arial" w:cs="Arial" w:eastAsia="Arial" w:hAnsi="Arial"/>
          <w:b/>
          <w:bCs/>
          <w:color w:val="1A1A2E"/>
          <w:sz w:val="38"/>
          <w:szCs w:val="38"/>
        </w:rPr>
        <w:t xml:space="preserve">Part I: The Paradigm of the Sovereign Stack</w:t>
      </w:r>
    </w:p>
    <w:p>
      <w:pPr>
        <w:pStyle w:val="Heading2"/>
        <w:spacing w:after="140" w:before="300"/>
      </w:pPr>
      <w:r>
        <w:rPr>
          <w:rFonts w:ascii="Arial" w:cs="Arial" w:eastAsia="Arial" w:hAnsi="Arial"/>
          <w:b/>
          <w:bCs/>
          <w:color w:val="7B2FBE"/>
          <w:sz w:val="26"/>
          <w:szCs w:val="26"/>
        </w:rPr>
        <w:t xml:space="preserve">1.1 Digital Sharecropping and the Case for Sovereignty</w:t>
      </w:r>
    </w:p>
    <w:p>
      <w:pPr>
        <w:spacing w:after="100" w:before="100" w:line="320"/>
        <w:jc w:val="both"/>
      </w:pPr>
      <w:r>
        <w:rPr>
          <w:rFonts w:ascii="Arial" w:cs="Arial" w:eastAsia="Arial" w:hAnsi="Arial"/>
          <w:color w:val="0A0A0A"/>
          <w:sz w:val="22"/>
          <w:szCs w:val="22"/>
        </w:rPr>
        <w:t xml:space="preserve">In traditional AI infrastructure, operators exist as digital sharecroppers — generating value on platforms owned by centralized technology monopolies. They build workflows on rented compute. They store institutional knowledge in systems they do not own. They depend on APIs that can be revoked, repriced, or restricted at any time.</w:t>
      </w:r>
    </w:p>
    <w:p>
      <w:pPr>
        <w:spacing w:after="100" w:before="100" w:line="320"/>
        <w:jc w:val="both"/>
      </w:pPr>
      <w:r>
        <w:rPr>
          <w:rFonts w:ascii="Arial" w:cs="Arial" w:eastAsia="Arial" w:hAnsi="Arial"/>
          <w:color w:val="0A0A0A"/>
          <w:sz w:val="22"/>
          <w:szCs w:val="22"/>
        </w:rPr>
        <w:t xml:space="preserve">The Sovereign Stack is a direct rejection of this arrangement. It reclaims digital dignity through self-healing, self-financing, and decentralized node structures. Every node is treated as an intelligent, self-sufficient entity capable of rerouting telemetry and diagnosing internal faults independently.</w:t>
      </w:r>
    </w:p>
    <w:p>
      <w:pPr>
        <w:pStyle w:val="Heading2"/>
        <w:spacing w:after="140" w:before="300"/>
      </w:pPr>
      <w:r>
        <w:rPr>
          <w:rFonts w:ascii="Arial" w:cs="Arial" w:eastAsia="Arial" w:hAnsi="Arial"/>
          <w:b/>
          <w:bCs/>
          <w:color w:val="7B2FBE"/>
          <w:sz w:val="26"/>
          <w:szCs w:val="26"/>
        </w:rPr>
        <w:t xml:space="preserve">1.2 The Philosophy of Systemic Coherence</w:t>
      </w:r>
    </w:p>
    <w:p>
      <w:pPr>
        <w:spacing w:after="100" w:before="100" w:line="320"/>
        <w:jc w:val="both"/>
      </w:pPr>
      <w:r>
        <w:rPr>
          <w:rFonts w:ascii="Arial" w:cs="Arial" w:eastAsia="Arial" w:hAnsi="Arial"/>
          <w:color w:val="0A0A0A"/>
          <w:sz w:val="22"/>
          <w:szCs w:val="22"/>
        </w:rPr>
        <w:t xml:space="preserve">Advanced multi-agent systems require a theoretical framework for harmony to prevent cascade failures among thousands of interacting sub-routines. The 528 Hz frequency — a core tone of the Solfeggio scale associated with cellular regeneration and systemic harmony — offers a profound architectural analogy.</w:t>
      </w:r>
    </w:p>
    <w:p>
      <w:pPr>
        <w:spacing w:after="100" w:before="100" w:line="320"/>
        <w:jc w:val="both"/>
      </w:pPr>
      <w:r>
        <w:rPr>
          <w:rFonts w:ascii="Arial" w:cs="Arial" w:eastAsia="Arial" w:hAnsi="Arial"/>
          <w:color w:val="0A0A0A"/>
          <w:sz w:val="22"/>
          <w:szCs w:val="22"/>
        </w:rPr>
        <w:t xml:space="preserve">Translated into software engineering, this represents absolute systemic coherence. When thousands of artificial agents and human operators collaborate within a system, friction must be mathematically minimized. Deadlocks, race conditions, and unhandled exceptions are the computational equivalent of cellular damage.</w:t>
      </w:r>
    </w:p>
    <w:p>
      <w:pPr>
        <w:spacing w:after="100" w:before="100" w:line="320"/>
        <w:jc w:val="both"/>
      </w:pPr>
      <w:r>
        <w:rPr>
          <w:rFonts w:ascii="Arial" w:cs="Arial" w:eastAsia="Arial" w:hAnsi="Arial"/>
          <w:color w:val="0A0A0A"/>
          <w:sz w:val="22"/>
          <w:szCs w:val="22"/>
        </w:rPr>
        <w:t xml:space="preserve">The Sovereign Stack utilizes strict type-safety via Pydantic schemas, deterministic memory management, and compassionate error-handling patterns to foster an environment where agents and humans operate in continuous flow — a state of computational harmony optimized for maximum analytical output.</w:t>
      </w:r>
    </w:p>
    <w:p>
      <w:pPr>
        <w:pStyle w:val="Heading2"/>
        <w:spacing w:after="140" w:before="300"/>
      </w:pPr>
      <w:r>
        <w:rPr>
          <w:rFonts w:ascii="Arial" w:cs="Arial" w:eastAsia="Arial" w:hAnsi="Arial"/>
          <w:b/>
          <w:bCs/>
          <w:color w:val="7B2FBE"/>
          <w:sz w:val="26"/>
          <w:szCs w:val="26"/>
        </w:rPr>
        <w:t xml:space="preserve">1.3 Industrial Edge Deployment: Lessons from the Physical World</w:t>
      </w:r>
    </w:p>
    <w:p>
      <w:pPr>
        <w:spacing w:after="100" w:before="100" w:line="320"/>
        <w:jc w:val="both"/>
      </w:pPr>
      <w:r>
        <w:rPr>
          <w:rFonts w:ascii="Arial" w:cs="Arial" w:eastAsia="Arial" w:hAnsi="Arial"/>
          <w:color w:val="0A0A0A"/>
          <w:sz w:val="22"/>
          <w:szCs w:val="22"/>
        </w:rPr>
        <w:t xml:space="preserve">To ground this philosophy in physical reality, consider high-stakes edge deployments in industrial manufacturing environments. Facilities producing mission-critical hardware cannot rely on fragile cloud connections subject to latency or external outages.</w:t>
      </w:r>
    </w:p>
    <w:p>
      <w:pPr>
        <w:spacing w:after="100" w:before="100" w:line="320"/>
        <w:jc w:val="both"/>
      </w:pPr>
      <w:r>
        <w:rPr>
          <w:rFonts w:ascii="Arial" w:cs="Arial" w:eastAsia="Arial" w:hAnsi="Arial"/>
          <w:color w:val="0A0A0A"/>
          <w:sz w:val="22"/>
          <w:szCs w:val="22"/>
        </w:rPr>
        <w:t xml:space="preserve">A localized Sovereign Stack running multimodal models on secure edge servers allows engineers to perform visual QA automation, document reasoning, and real-time operational telemetry entirely offline — securing proprietary intellectual property behind impenetrable digital walls. This is the practical promise of sovereign architecture: intelligence that works regardless of connectivity, controlled entirely by its operator.</w:t>
      </w:r>
    </w:p>
    <w:p>
      <w:pPr>
        <w:pBdr>
          <w:bottom w:val="single" w:color="C9A84C" w:sz="6" w:space="1"/>
        </w:pBdr>
        <w:spacing w:after="200" w:before="200"/>
      </w:pPr>
    </w:p>
    <w:p>
      <w:pPr>
        <w:pStyle w:val="Heading1"/>
        <w:spacing w:after="200" w:before="480"/>
      </w:pPr>
      <w:r>
        <w:rPr>
          <w:rFonts w:ascii="Arial" w:cs="Arial" w:eastAsia="Arial" w:hAnsi="Arial"/>
          <w:b/>
          <w:bCs/>
          <w:color w:val="1A1A2E"/>
          <w:sz w:val="38"/>
          <w:szCs w:val="38"/>
        </w:rPr>
        <w:t xml:space="preserve">Part II: Component Discovery and Selection</w:t>
      </w:r>
    </w:p>
    <w:p>
      <w:pPr>
        <w:pStyle w:val="Heading2"/>
        <w:spacing w:after="140" w:before="300"/>
      </w:pPr>
      <w:r>
        <w:rPr>
          <w:rFonts w:ascii="Arial" w:cs="Arial" w:eastAsia="Arial" w:hAnsi="Arial"/>
          <w:b/>
          <w:bCs/>
          <w:color w:val="7B2FBE"/>
          <w:sz w:val="26"/>
          <w:szCs w:val="26"/>
        </w:rPr>
        <w:t xml:space="preserve">2.1 Core Repository Matrix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00"/>
        <w:gridCol w:w="2560"/>
      </w:tblGrid>
      <w:tr>
        <w:tc>
          <w:tcPr>
            <w:tcW w:type="dxa" w:w="20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Repository</w:t>
            </w:r>
          </w:p>
        </w:tc>
        <w:tc>
          <w:tcPr>
            <w:tcW w:type="dxa" w:w="14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Primary Language</w:t>
            </w:r>
          </w:p>
        </w:tc>
        <w:tc>
          <w:tcPr>
            <w:tcW w:type="dxa" w:w="34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Key Strength</w:t>
            </w:r>
          </w:p>
        </w:tc>
        <w:tc>
          <w:tcPr>
            <w:tcW w:type="dxa" w:w="256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Critical Limitation</w:t>
            </w:r>
          </w:p>
        </w:tc>
      </w:tr>
      <w:tr>
        <w:tc>
          <w:tcPr>
            <w:tcW w:type="dxa" w:w="20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PrefectHQ/ControlFlow</w:t>
            </w:r>
          </w:p>
        </w:tc>
        <w:tc>
          <w:tcPr>
            <w:tcW w:type="dxa" w:w="1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Python</w:t>
            </w:r>
          </w:p>
        </w:tc>
        <w:tc>
          <w:tcPr>
            <w:tcW w:type="dxa" w:w="3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Task-centric; type-safe structured results via Pydantic; native multi-agent workflows</w:t>
            </w:r>
          </w:p>
        </w:tc>
        <w:tc>
          <w:tcPr>
            <w:tcW w:type="dxa" w:w="256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Tied to Prefect 3.0 observability ecosystem</w:t>
            </w:r>
          </w:p>
        </w:tc>
      </w:tr>
      <w:tr>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deepseek-ai/Janus</w:t>
            </w:r>
          </w:p>
        </w:tc>
        <w:tc>
          <w:tcPr>
            <w:tcW w:type="dxa" w:w="1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Python</w:t>
            </w:r>
          </w:p>
        </w:tc>
        <w:tc>
          <w:tcPr>
            <w:tcW w:type="dxa" w:w="3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Unified multimodal understanding and generation; decoupled visual encoding; edge-optimized</w:t>
            </w:r>
          </w:p>
        </w:tc>
        <w:tc>
          <w:tcPr>
            <w:tcW w:type="dxa" w:w="2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Generation limited to 384x384 patch size; high VRAM for 7B variant</w:t>
            </w:r>
          </w:p>
        </w:tc>
      </w:tr>
      <w:tr>
        <w:tc>
          <w:tcPr>
            <w:tcW w:type="dxa" w:w="20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open-webui/open-webui</w:t>
            </w:r>
          </w:p>
        </w:tc>
        <w:tc>
          <w:tcPr>
            <w:tcW w:type="dxa" w:w="1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TypeScript / Python</w:t>
            </w:r>
          </w:p>
        </w:tc>
        <w:tc>
          <w:tcPr>
            <w:tcW w:type="dxa" w:w="3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ChatGPT-like interface for local LLMs; robust Docker integration; fully offline</w:t>
            </w:r>
          </w:p>
        </w:tc>
        <w:tc>
          <w:tcPr>
            <w:tcW w:type="dxa" w:w="256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UI rendering can consume resources at scale</w:t>
            </w:r>
          </w:p>
        </w:tc>
      </w:tr>
      <w:tr>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twelvelabs-io/twelvelabs-python</w:t>
            </w:r>
          </w:p>
        </w:tc>
        <w:tc>
          <w:tcPr>
            <w:tcW w:type="dxa" w:w="1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Python</w:t>
            </w:r>
          </w:p>
        </w:tc>
        <w:tc>
          <w:tcPr>
            <w:tcW w:type="dxa" w:w="3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Streamlined API for cross-modal video search and generative analysis</w:t>
            </w:r>
          </w:p>
        </w:tc>
        <w:tc>
          <w:tcPr>
            <w:tcW w:type="dxa" w:w="2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Requires external API calls; careful data-protection protocols needed</w:t>
            </w:r>
          </w:p>
        </w:tc>
      </w:tr>
      <w:tr>
        <w:tc>
          <w:tcPr>
            <w:tcW w:type="dxa" w:w="20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HenkVanHoek/sovereign-stack</w:t>
            </w:r>
          </w:p>
        </w:tc>
        <w:tc>
          <w:tcPr>
            <w:tcW w:type="dxa" w:w="1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Shell / Docker</w:t>
            </w:r>
          </w:p>
        </w:tc>
        <w:tc>
          <w:tcPr>
            <w:tcW w:type="dxa" w:w="3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Security-hardened, privacy-first Docker orchestration; prevents unauthorized outbound telemetry</w:t>
            </w:r>
          </w:p>
        </w:tc>
        <w:tc>
          <w:tcPr>
            <w:tcW w:type="dxa" w:w="256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Highly opinionated; requires manual integration of novel frameworks</w:t>
            </w:r>
          </w:p>
        </w:tc>
      </w:tr>
    </w:tbl>
    <w:p>
      <w:pPr>
        <w:spacing w:after="80" w:before="80"/>
      </w:pPr>
    </w:p>
    <w:p>
      <w:pPr>
        <w:pStyle w:val="Heading2"/>
        <w:spacing w:after="140" w:before="300"/>
      </w:pPr>
      <w:r>
        <w:rPr>
          <w:rFonts w:ascii="Arial" w:cs="Arial" w:eastAsia="Arial" w:hAnsi="Arial"/>
          <w:b/>
          <w:bCs/>
          <w:color w:val="7B2FBE"/>
          <w:sz w:val="26"/>
          <w:szCs w:val="26"/>
        </w:rPr>
        <w:t xml:space="preserve">2.2 Transformer Model Selection Matrix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2000"/>
        <w:gridCol w:w="1760"/>
      </w:tblGrid>
      <w:tr>
        <w:tc>
          <w:tcPr>
            <w:tcW w:type="dxa" w:w="24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Model</w:t>
            </w:r>
          </w:p>
        </w:tc>
        <w:tc>
          <w:tcPr>
            <w:tcW w:type="dxa" w:w="18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Task</w:t>
            </w:r>
          </w:p>
        </w:tc>
        <w:tc>
          <w:tcPr>
            <w:tcW w:type="dxa" w:w="14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Size</w:t>
            </w:r>
          </w:p>
        </w:tc>
        <w:tc>
          <w:tcPr>
            <w:tcW w:type="dxa" w:w="20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Hardware Required</w:t>
            </w:r>
          </w:p>
        </w:tc>
        <w:tc>
          <w:tcPr>
            <w:tcW w:type="dxa" w:w="176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Fine-Tuning</w:t>
            </w:r>
          </w:p>
        </w:tc>
      </w:tr>
      <w:tr>
        <w:tc>
          <w:tcPr>
            <w:tcW w:type="dxa" w:w="2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DeepSeek-ai/Janus-Pro-7B</w:t>
            </w:r>
          </w:p>
        </w:tc>
        <w:tc>
          <w:tcPr>
            <w:tcW w:type="dxa" w:w="18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Multimodal Text/Image</w:t>
            </w:r>
          </w:p>
        </w:tc>
        <w:tc>
          <w:tcPr>
            <w:tcW w:type="dxa" w:w="1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7 Billion</w:t>
            </w:r>
          </w:p>
        </w:tc>
        <w:tc>
          <w:tcPr>
            <w:tcW w:type="dxa" w:w="20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~16-18 GB VRAM (bfloat16)</w:t>
            </w:r>
          </w:p>
        </w:tc>
        <w:tc>
          <w:tcPr>
            <w:tcW w:type="dxa" w:w="176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Yes / LoRA compatible</w:t>
            </w:r>
          </w:p>
        </w:tc>
      </w:tr>
      <w:tr>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DeepSeek-ai/Janus-Pro-1B</w:t>
            </w:r>
          </w:p>
        </w:tc>
        <w:tc>
          <w:tcPr>
            <w:tcW w:type="dxa" w:w="1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Multimodal Text/Image</w:t>
            </w:r>
          </w:p>
        </w:tc>
        <w:tc>
          <w:tcPr>
            <w:tcW w:type="dxa" w:w="1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1 Billion</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~4-5 GB VRAM (Q4)</w:t>
            </w:r>
          </w:p>
        </w:tc>
        <w:tc>
          <w:tcPr>
            <w:tcW w:type="dxa" w:w="17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Yes / LoRA compatible</w:t>
            </w:r>
          </w:p>
        </w:tc>
      </w:tr>
      <w:tr>
        <w:tc>
          <w:tcPr>
            <w:tcW w:type="dxa" w:w="2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TwelveLabs Marengo-2.7</w:t>
            </w:r>
          </w:p>
        </w:tc>
        <w:tc>
          <w:tcPr>
            <w:tcW w:type="dxa" w:w="18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Multimodal Video Embeddings</w:t>
            </w:r>
          </w:p>
        </w:tc>
        <w:tc>
          <w:tcPr>
            <w:tcW w:type="dxa" w:w="1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N/A (API)</w:t>
            </w:r>
          </w:p>
        </w:tc>
        <w:tc>
          <w:tcPr>
            <w:tcW w:type="dxa" w:w="20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Cloud Executed</w:t>
            </w:r>
          </w:p>
        </w:tc>
        <w:tc>
          <w:tcPr>
            <w:tcW w:type="dxa" w:w="176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Zero-shot classification native</w:t>
            </w:r>
          </w:p>
        </w:tc>
      </w:tr>
      <w:tr>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TwelveLabs Pegasus</w:t>
            </w:r>
          </w:p>
        </w:tc>
        <w:tc>
          <w:tcPr>
            <w:tcW w:type="dxa" w:w="1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Video-to-Text Generation</w:t>
            </w:r>
          </w:p>
        </w:tc>
        <w:tc>
          <w:tcPr>
            <w:tcW w:type="dxa" w:w="1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N/A (API)</w:t>
            </w:r>
          </w:p>
        </w:tc>
        <w:tc>
          <w:tcPr>
            <w:tcW w:type="dxa" w:w="20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Cloud Executed</w:t>
            </w:r>
          </w:p>
        </w:tc>
        <w:tc>
          <w:tcPr>
            <w:tcW w:type="dxa" w:w="17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Yes (Enterprise SLA)</w:t>
            </w:r>
          </w:p>
        </w:tc>
      </w:tr>
    </w:tbl>
    <w:p>
      <w:pPr>
        <w:spacing w:after="80" w:before="80"/>
      </w:pPr>
    </w:p>
    <w:p>
      <w:pPr>
        <w:pBdr>
          <w:bottom w:val="single" w:color="C9A84C" w:sz="6" w:space="1"/>
        </w:pBdr>
        <w:spacing w:after="200" w:before="200"/>
      </w:pPr>
    </w:p>
    <w:p>
      <w:pPr>
        <w:pStyle w:val="Heading1"/>
        <w:spacing w:after="200" w:before="480"/>
      </w:pPr>
      <w:r>
        <w:rPr>
          <w:rFonts w:ascii="Arial" w:cs="Arial" w:eastAsia="Arial" w:hAnsi="Arial"/>
          <w:b/>
          <w:bCs/>
          <w:color w:val="1A1A2E"/>
          <w:sz w:val="38"/>
          <w:szCs w:val="38"/>
        </w:rPr>
        <w:t xml:space="preserve">Part III: System Architecture</w:t>
      </w:r>
    </w:p>
    <w:p>
      <w:pPr>
        <w:pStyle w:val="Heading2"/>
        <w:spacing w:after="140" w:before="300"/>
      </w:pPr>
      <w:r>
        <w:rPr>
          <w:rFonts w:ascii="Arial" w:cs="Arial" w:eastAsia="Arial" w:hAnsi="Arial"/>
          <w:b/>
          <w:bCs/>
          <w:color w:val="7B2FBE"/>
          <w:sz w:val="26"/>
          <w:szCs w:val="26"/>
        </w:rPr>
        <w:t xml:space="preserve">3.1 The Dual-Backend Paradigm</w:t>
      </w:r>
    </w:p>
    <w:p>
      <w:pPr>
        <w:spacing w:after="100" w:before="100" w:line="320"/>
        <w:jc w:val="both"/>
      </w:pPr>
      <w:r>
        <w:rPr>
          <w:rFonts w:ascii="Arial" w:cs="Arial" w:eastAsia="Arial" w:hAnsi="Arial"/>
          <w:color w:val="0A0A0A"/>
          <w:sz w:val="22"/>
          <w:szCs w:val="22"/>
        </w:rPr>
        <w:t xml:space="preserve">The Sovereign Edge architecture operates through a dual-backend paradigm. The front-facing interaction layer (Open WebUI) communicates with a local ControlFlow orchestration engine. ControlFlow routes static imagery and text generation to on-premise DeepSeek Janus-Pro models executing on Apple Silicon via Metal Performance Shaders.</w:t>
      </w:r>
    </w:p>
    <w:p>
      <w:pPr>
        <w:spacing w:after="100" w:before="100" w:line="320"/>
        <w:jc w:val="both"/>
      </w:pPr>
      <w:r>
        <w:rPr>
          <w:rFonts w:ascii="Arial" w:cs="Arial" w:eastAsia="Arial" w:hAnsi="Arial"/>
          <w:color w:val="0A0A0A"/>
          <w:sz w:val="22"/>
          <w:szCs w:val="22"/>
        </w:rPr>
        <w:t xml:space="preserve">Concurrently, large-scale temporal data is securely routed to Twelve Labs embedding APIs, mapped into a high-dimensional vector space, and stored in a localized LanceDB or Qdrant instance for immediate semantic retrieval. The two backends — local and cloud-edge — operate simultaneously, each handling the data types they are optimized for.</w:t>
      </w:r>
    </w:p>
    <w:p>
      <w:pPr>
        <w:pStyle w:val="Heading2"/>
        <w:spacing w:after="140" w:before="300"/>
      </w:pPr>
      <w:r>
        <w:rPr>
          <w:rFonts w:ascii="Arial" w:cs="Arial" w:eastAsia="Arial" w:hAnsi="Arial"/>
          <w:b/>
          <w:bCs/>
          <w:color w:val="7B2FBE"/>
          <w:sz w:val="26"/>
          <w:szCs w:val="26"/>
        </w:rPr>
        <w:t xml:space="preserve">3.2 Component Selection Rationale</w:t>
      </w:r>
    </w:p>
    <w:p>
      <w:pPr>
        <w:spacing w:after="100" w:before="100" w:line="320"/>
        <w:jc w:val="both"/>
      </w:pPr>
      <w:r>
        <w:rPr>
          <w:rFonts w:ascii="Arial" w:cs="Arial" w:eastAsia="Arial" w:hAnsi="Arial"/>
          <w:color w:val="0A0A0A"/>
          <w:sz w:val="22"/>
          <w:szCs w:val="22"/>
        </w:rPr>
        <w:t xml:space="preserve">The Mac Mini M4 utilizes Apple Unified Memory Architecture, allowing the CPU, GPU, and Neural Engine to access the same memory pool simultaneously. This permits execution of 7-billion-parameter models without the prohibitive costs of NVIDIA cluster arrays.</w:t>
      </w:r>
    </w:p>
    <w:p>
      <w:pPr>
        <w:spacing w:after="100" w:before="100" w:line="320"/>
        <w:jc w:val="both"/>
      </w:pPr>
      <w:r>
        <w:rPr>
          <w:rFonts w:ascii="Arial" w:cs="Arial" w:eastAsia="Arial" w:hAnsi="Arial"/>
          <w:color w:val="0A0A0A"/>
          <w:sz w:val="22"/>
          <w:szCs w:val="22"/>
        </w:rPr>
        <w:t xml:space="preserve">Janus-Pro was selected for its decoupled visual encoding architecture: the SigLIP-L vision encoder handles multimodal understanding while a separate tokenizer manages image generation. Operating within a 4096 context window with bfloat16 precision via Metal Performance Shaders, it uses approximately 15-18 GB of RAM while preventing the floating-point overflow errors common in standard fp16 quantization.</w:t>
      </w:r>
    </w:p>
    <w:p>
      <w:pPr>
        <w:spacing w:after="100" w:before="100" w:line="320"/>
        <w:jc w:val="both"/>
      </w:pPr>
      <w:r>
        <w:rPr>
          <w:rFonts w:ascii="Arial" w:cs="Arial" w:eastAsia="Arial" w:hAnsi="Arial"/>
          <w:color w:val="0A0A0A"/>
          <w:sz w:val="22"/>
          <w:szCs w:val="22"/>
        </w:rPr>
        <w:t xml:space="preserve">Twelve Labs provides temporal intelligence that local models cannot match. The Marengo embedding model collapses visual, conversational, and logo data into a singular searchable mathematical vector space. The Pegasus model enables autonomous report generation from hours of video footage. Integration uses ephemeral pre-signed URLs — video is processed, embeddings are stored locally, and external access expires immediately upon completion.</w:t>
      </w:r>
    </w:p>
    <w:p>
      <w:pPr>
        <w:spacing w:after="100" w:before="100" w:line="320"/>
        <w:jc w:val="both"/>
      </w:pPr>
      <w:r>
        <w:rPr>
          <w:rFonts w:ascii="Arial" w:cs="Arial" w:eastAsia="Arial" w:hAnsi="Arial"/>
          <w:color w:val="0A0A0A"/>
          <w:sz w:val="22"/>
          <w:szCs w:val="22"/>
        </w:rPr>
        <w:t xml:space="preserve">ControlFlow wraps all AI outputs in strict Pydantic schemas, guaranteeing that agents return type-safe, predictable data structures to the software backend. This is the critical engineering discipline that separates reliable autonomous systems from brittle proof-of-concept demos.</w:t>
      </w:r>
    </w:p>
    <w:p>
      <w:pPr>
        <w:pStyle w:val="Heading2"/>
        <w:spacing w:after="140" w:before="300"/>
      </w:pPr>
      <w:r>
        <w:rPr>
          <w:rFonts w:ascii="Arial" w:cs="Arial" w:eastAsia="Arial" w:hAnsi="Arial"/>
          <w:b/>
          <w:bCs/>
          <w:color w:val="7B2FBE"/>
          <w:sz w:val="26"/>
          <w:szCs w:val="26"/>
        </w:rPr>
        <w:t xml:space="preserve">3.3 The 1000-Agent Swarm Architecture</w:t>
      </w:r>
    </w:p>
    <w:p>
      <w:pPr>
        <w:spacing w:after="100" w:before="100" w:line="320"/>
        <w:jc w:val="both"/>
      </w:pPr>
      <w:r>
        <w:rPr>
          <w:rFonts w:ascii="Arial" w:cs="Arial" w:eastAsia="Arial" w:hAnsi="Arial"/>
          <w:color w:val="0A0A0A"/>
          <w:sz w:val="22"/>
          <w:szCs w:val="22"/>
        </w:rPr>
        <w:t xml:space="preserve">The true scale of the Sovereign Edge is realized when the ControlFlow orchestration layer is deployed at full capacity. The architecture is designed to support simultaneous collaboration between 1,000 specialized AI agents and 1,000 human operators within a single coherent system.</w:t>
      </w:r>
    </w:p>
    <w:p>
      <w:pPr>
        <w:spacing w:after="100" w:before="100" w:line="320"/>
        <w:jc w:val="both"/>
      </w:pPr>
      <w:r>
        <w:rPr>
          <w:rFonts w:ascii="Arial" w:cs="Arial" w:eastAsia="Arial" w:hAnsi="Arial"/>
          <w:color w:val="0A0A0A"/>
          <w:sz w:val="22"/>
          <w:szCs w:val="22"/>
        </w:rPr>
        <w:t xml:space="preserve">This scale requires explicit agent persona definition. The system distinguishes between Analyst agents for data extraction, Supervisor agents for decision moderation, Researcher agents for information gathering, and Deployment agents for system actions — each operating under strict authorization boundaries enforced by the principle of least privilege.</w:t>
      </w:r>
    </w:p>
    <w:p>
      <w:pPr>
        <w:pBdr>
          <w:bottom w:val="single" w:color="C9A84C" w:sz="6" w:space="1"/>
        </w:pBdr>
        <w:spacing w:after="200" w:before="200"/>
      </w:pPr>
    </w:p>
    <w:p>
      <w:pPr>
        <w:pStyle w:val="Heading1"/>
        <w:spacing w:after="200" w:before="480"/>
      </w:pPr>
      <w:r>
        <w:rPr>
          <w:rFonts w:ascii="Arial" w:cs="Arial" w:eastAsia="Arial" w:hAnsi="Arial"/>
          <w:b/>
          <w:bCs/>
          <w:color w:val="1A1A2E"/>
          <w:sz w:val="38"/>
          <w:szCs w:val="38"/>
        </w:rPr>
        <w:t xml:space="preserve">Part IV: Implementation Blueprint</w:t>
      </w:r>
    </w:p>
    <w:p>
      <w:pPr>
        <w:pStyle w:val="Heading2"/>
        <w:spacing w:after="140" w:before="300"/>
      </w:pPr>
      <w:r>
        <w:rPr>
          <w:rFonts w:ascii="Arial" w:cs="Arial" w:eastAsia="Arial" w:hAnsi="Arial"/>
          <w:b/>
          <w:bCs/>
          <w:color w:val="7B2FBE"/>
          <w:sz w:val="26"/>
          <w:szCs w:val="26"/>
        </w:rPr>
        <w:t xml:space="preserve">4.1 Phase Roadmap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c>
          <w:tcPr>
            <w:tcW w:type="dxa" w:w="18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Phase</w:t>
            </w:r>
          </w:p>
        </w:tc>
        <w:tc>
          <w:tcPr>
            <w:tcW w:type="dxa" w:w="14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Timeline</w:t>
            </w:r>
          </w:p>
        </w:tc>
        <w:tc>
          <w:tcPr>
            <w:tcW w:type="dxa" w:w="28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Focus</w:t>
            </w:r>
          </w:p>
        </w:tc>
        <w:tc>
          <w:tcPr>
            <w:tcW w:type="dxa" w:w="336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Key Deliverable</w:t>
            </w:r>
          </w:p>
        </w:tc>
      </w:tr>
      <w:tr>
        <w:tc>
          <w:tcPr>
            <w:tcW w:type="dxa" w:w="18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Foundation</w:t>
            </w:r>
          </w:p>
        </w:tc>
        <w:tc>
          <w:tcPr>
            <w:tcW w:type="dxa" w:w="1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Week 1-2</w:t>
            </w:r>
          </w:p>
        </w:tc>
        <w:tc>
          <w:tcPr>
            <w:tcW w:type="dxa" w:w="28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Infrastructure and model instantiation</w:t>
            </w:r>
          </w:p>
        </w:tc>
        <w:tc>
          <w:tcPr>
            <w:tcW w:type="dxa" w:w="336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Janus-Pro loaded; MPS acceleration verified</w:t>
            </w:r>
          </w:p>
        </w:tc>
      </w:tr>
      <w:tr>
        <w:tc>
          <w:tcPr>
            <w:tcW w:type="dxa" w:w="1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Core Integration</w:t>
            </w:r>
          </w:p>
        </w:tc>
        <w:tc>
          <w:tcPr>
            <w:tcW w:type="dxa" w:w="1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Week 3-4</w:t>
            </w:r>
          </w:p>
        </w:tc>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Dual-backend mesh construction</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ControlFlow routing to both backends live</w:t>
            </w:r>
          </w:p>
        </w:tc>
      </w:tr>
      <w:tr>
        <w:tc>
          <w:tcPr>
            <w:tcW w:type="dxa" w:w="18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Enhancement</w:t>
            </w:r>
          </w:p>
        </w:tc>
        <w:tc>
          <w:tcPr>
            <w:tcW w:type="dxa" w:w="14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Week 5-6</w:t>
            </w:r>
          </w:p>
        </w:tc>
        <w:tc>
          <w:tcPr>
            <w:tcW w:type="dxa" w:w="28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Scale and swarm synchronization</w:t>
            </w:r>
          </w:p>
        </w:tc>
        <w:tc>
          <w:tcPr>
            <w:tcW w:type="dxa" w:w="336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Supervisor-moderated agent feedback loop</w:t>
            </w:r>
          </w:p>
        </w:tc>
      </w:tr>
      <w:tr>
        <w:tc>
          <w:tcPr>
            <w:tcW w:type="dxa" w:w="1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Polish</w:t>
            </w:r>
          </w:p>
        </w:tc>
        <w:tc>
          <w:tcPr>
            <w:tcW w:type="dxa" w:w="1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Week 7-8</w:t>
            </w:r>
          </w:p>
        </w:tc>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Sovereignty hardening and telemetry</w:t>
            </w:r>
          </w:p>
        </w:tc>
        <w:tc>
          <w:tcPr>
            <w:tcW w:type="dxa" w:w="33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Full observability stack deployed</w:t>
            </w:r>
          </w:p>
        </w:tc>
      </w:tr>
    </w:tbl>
    <w:p>
      <w:pPr>
        <w:spacing w:after="80" w:before="80"/>
      </w:pPr>
    </w:p>
    <w:p>
      <w:pPr>
        <w:pStyle w:val="Heading2"/>
        <w:spacing w:after="140" w:before="300"/>
      </w:pPr>
      <w:r>
        <w:rPr>
          <w:rFonts w:ascii="Arial" w:cs="Arial" w:eastAsia="Arial" w:hAnsi="Arial"/>
          <w:b/>
          <w:bCs/>
          <w:color w:val="7B2FBE"/>
          <w:sz w:val="26"/>
          <w:szCs w:val="26"/>
        </w:rPr>
        <w:t xml:space="preserve">4.2 Critical Configuration Parameters</w:t>
      </w:r>
    </w:p>
    <w:p>
      <w:pPr>
        <w:spacing w:after="100" w:before="100" w:line="320"/>
        <w:jc w:val="both"/>
      </w:pPr>
      <w:r>
        <w:rPr>
          <w:rFonts w:ascii="Arial" w:cs="Arial" w:eastAsia="Arial" w:hAnsi="Arial"/>
          <w:color w:val="0A0A0A"/>
          <w:sz w:val="22"/>
          <w:szCs w:val="22"/>
        </w:rPr>
        <w:t xml:space="preserve">Janus-Pro requires precise tuning for Apple Silicon stability. The parallel_size parameter must be set to 1 on unified memory systems to prevent memory exhaustion and system crashes. Temperature should be maintained at 0.8 for balanced creative generation and structural stability.</w:t>
      </w:r>
    </w:p>
    <w:p>
      <w:pPr>
        <w:spacing w:after="100" w:before="100" w:line="320"/>
        <w:jc w:val="both"/>
      </w:pPr>
      <w:r>
        <w:rPr>
          <w:rFonts w:ascii="Arial" w:cs="Arial" w:eastAsia="Arial" w:hAnsi="Arial"/>
          <w:color w:val="0A0A0A"/>
          <w:sz w:val="22"/>
          <w:szCs w:val="22"/>
        </w:rPr>
        <w:t xml:space="preserve">ControlFlow tool returns must always be typed via Python dataclasses or Pydantic schemas. Untyped tool returns are the single most common cause of agent hallucination in production multi-agent deployments — the LLM misinterprets unstructured return values and compounds the error through subsequent reasoning steps.</w:t>
      </w:r>
    </w:p>
    <w:p>
      <w:pPr>
        <w:spacing w:after="100" w:before="100" w:line="320"/>
        <w:jc w:val="both"/>
      </w:pPr>
      <w:r>
        <w:rPr>
          <w:rFonts w:ascii="Arial" w:cs="Arial" w:eastAsia="Arial" w:hAnsi="Arial"/>
          <w:color w:val="0A0A0A"/>
          <w:sz w:val="22"/>
          <w:szCs w:val="22"/>
        </w:rPr>
        <w:t xml:space="preserve">Twelve Labs video chunks sent to the Marengo model must be at least 4 seconds in duration. Shorter clips produce embeddings with insufficient dimensional accuracy for reliable semantic retrieval.</w:t>
      </w:r>
    </w:p>
    <w:p>
      <w:pPr>
        <w:pBdr>
          <w:bottom w:val="single" w:color="C9A84C" w:sz="6" w:space="1"/>
        </w:pBdr>
        <w:spacing w:after="200" w:before="200"/>
      </w:pPr>
    </w:p>
    <w:p>
      <w:pPr>
        <w:pStyle w:val="Heading1"/>
        <w:spacing w:after="200" w:before="480"/>
      </w:pPr>
      <w:r>
        <w:rPr>
          <w:rFonts w:ascii="Arial" w:cs="Arial" w:eastAsia="Arial" w:hAnsi="Arial"/>
          <w:b/>
          <w:bCs/>
          <w:color w:val="1A1A2E"/>
          <w:sz w:val="38"/>
          <w:szCs w:val="38"/>
        </w:rPr>
        <w:t xml:space="preserve">Part V: Security and Telemetry</w:t>
      </w:r>
    </w:p>
    <w:p>
      <w:pPr>
        <w:pStyle w:val="Heading2"/>
        <w:spacing w:after="140" w:before="300"/>
      </w:pPr>
      <w:r>
        <w:rPr>
          <w:rFonts w:ascii="Arial" w:cs="Arial" w:eastAsia="Arial" w:hAnsi="Arial"/>
          <w:b/>
          <w:bCs/>
          <w:color w:val="7B2FBE"/>
          <w:sz w:val="26"/>
          <w:szCs w:val="26"/>
        </w:rPr>
        <w:t xml:space="preserve">5.1 Security Architecture</w:t>
      </w:r>
    </w:p>
    <w:p>
      <w:pPr>
        <w:spacing w:after="100" w:before="100" w:line="320"/>
        <w:jc w:val="both"/>
      </w:pPr>
      <w:r>
        <w:rPr>
          <w:rFonts w:ascii="Arial" w:cs="Arial" w:eastAsia="Arial" w:hAnsi="Arial"/>
          <w:color w:val="0A0A0A"/>
          <w:sz w:val="22"/>
          <w:szCs w:val="22"/>
        </w:rPr>
        <w:t xml:space="preserve">The core tenet of the Sovereign Stack is that PII and proprietary intellectual property never leave the physical network. The security architecture enforces this at every layer:</w:t>
      </w:r>
    </w:p>
    <w:p>
      <w:pPr>
        <w:pStyle w:val="ListParagraph"/>
        <w:numPr>
          <w:ilvl w:val="0"/>
          <w:numId w:val="2"/>
        </w:numPr>
        <w:spacing w:after="80" w:before="80"/>
      </w:pPr>
      <w:r>
        <w:rPr>
          <w:rFonts w:ascii="Arial" w:cs="Arial" w:eastAsia="Arial" w:hAnsi="Arial"/>
          <w:color w:val="0A0A0A"/>
          <w:sz w:val="22"/>
          <w:szCs w:val="22"/>
        </w:rPr>
        <w:t xml:space="preserve">Data at rest encrypted via AES-256 protocols</w:t>
      </w:r>
    </w:p>
    <w:p>
      <w:pPr>
        <w:pStyle w:val="ListParagraph"/>
        <w:numPr>
          <w:ilvl w:val="0"/>
          <w:numId w:val="2"/>
        </w:numPr>
        <w:spacing w:after="80" w:before="80"/>
      </w:pPr>
      <w:r>
        <w:rPr>
          <w:rFonts w:ascii="Arial" w:cs="Arial" w:eastAsia="Arial" w:hAnsi="Arial"/>
          <w:color w:val="0A0A0A"/>
          <w:sz w:val="22"/>
          <w:szCs w:val="22"/>
        </w:rPr>
        <w:t xml:space="preserve">Docker containers networked via internal bridge networks with no host-exposed ports except the primary secured UI gateway</w:t>
      </w:r>
    </w:p>
    <w:p>
      <w:pPr>
        <w:pStyle w:val="ListParagraph"/>
        <w:numPr>
          <w:ilvl w:val="0"/>
          <w:numId w:val="2"/>
        </w:numPr>
        <w:spacing w:after="80" w:before="80"/>
      </w:pPr>
      <w:r>
        <w:rPr>
          <w:rFonts w:ascii="Arial" w:cs="Arial" w:eastAsia="Arial" w:hAnsi="Arial"/>
          <w:color w:val="0A0A0A"/>
          <w:sz w:val="22"/>
          <w:szCs w:val="22"/>
        </w:rPr>
        <w:t xml:space="preserve">Inter-container communication via mutual TLS (mTLS) to prevent local packet sniffing</w:t>
      </w:r>
    </w:p>
    <w:p>
      <w:pPr>
        <w:pStyle w:val="ListParagraph"/>
        <w:numPr>
          <w:ilvl w:val="0"/>
          <w:numId w:val="2"/>
        </w:numPr>
        <w:spacing w:after="80" w:before="80"/>
      </w:pPr>
      <w:r>
        <w:rPr>
          <w:rFonts w:ascii="Arial" w:cs="Arial" w:eastAsia="Arial" w:hAnsi="Arial"/>
          <w:color w:val="0A0A0A"/>
          <w:sz w:val="22"/>
          <w:szCs w:val="22"/>
        </w:rPr>
        <w:t xml:space="preserve">All user inputs routed through a Sanitization Agent before reaching core logic — prompt injection mitigation by architecture</w:t>
      </w:r>
    </w:p>
    <w:p>
      <w:pPr>
        <w:pStyle w:val="ListParagraph"/>
        <w:numPr>
          <w:ilvl w:val="0"/>
          <w:numId w:val="2"/>
        </w:numPr>
        <w:spacing w:after="80" w:before="80"/>
      </w:pPr>
      <w:r>
        <w:rPr>
          <w:rFonts w:ascii="Arial" w:cs="Arial" w:eastAsia="Arial" w:hAnsi="Arial"/>
          <w:color w:val="0A0A0A"/>
          <w:sz w:val="22"/>
          <w:szCs w:val="22"/>
        </w:rPr>
        <w:t xml:space="preserve">Role-Based Access Control enforced at the agent level: Researcher agents are mathematically denied access to Deployment agent tools</w:t>
      </w:r>
    </w:p>
    <w:p>
      <w:pPr>
        <w:pStyle w:val="ListParagraph"/>
        <w:numPr>
          <w:ilvl w:val="0"/>
          <w:numId w:val="2"/>
        </w:numPr>
        <w:spacing w:after="80" w:before="80"/>
      </w:pPr>
      <w:r>
        <w:rPr>
          <w:rFonts w:ascii="Arial" w:cs="Arial" w:eastAsia="Arial" w:hAnsi="Arial"/>
          <w:color w:val="0A0A0A"/>
          <w:sz w:val="22"/>
          <w:szCs w:val="22"/>
        </w:rPr>
        <w:t xml:space="preserve">Video processed via ephemeral pre-signed URLs that expire upon embedding completion</w:t>
      </w:r>
    </w:p>
    <w:p>
      <w:pPr>
        <w:pStyle w:val="Heading2"/>
        <w:spacing w:after="140" w:before="300"/>
      </w:pPr>
      <w:r>
        <w:rPr>
          <w:rFonts w:ascii="Arial" w:cs="Arial" w:eastAsia="Arial" w:hAnsi="Arial"/>
          <w:b/>
          <w:bCs/>
          <w:color w:val="7B2FBE"/>
          <w:sz w:val="26"/>
          <w:szCs w:val="26"/>
        </w:rPr>
        <w:t xml:space="preserve">5.2 Observability Stack</w:t>
      </w:r>
    </w:p>
    <w:p>
      <w:pPr>
        <w:spacing w:after="100" w:before="100" w:line="320"/>
        <w:jc w:val="both"/>
      </w:pPr>
      <w:r>
        <w:rPr>
          <w:rFonts w:ascii="Arial" w:cs="Arial" w:eastAsia="Arial" w:hAnsi="Arial"/>
          <w:color w:val="0A0A0A"/>
          <w:sz w:val="22"/>
          <w:szCs w:val="22"/>
        </w:rPr>
        <w:t xml:space="preserve">Without telemetry, diagnosing a hallucinating agent within a 1,000-agent swarm is impossible. The recommended observability stack transforms the opaque black box of LLM reasoning into a transparent, debuggable timeline: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Layer</w:t>
            </w:r>
          </w:p>
        </w:tc>
        <w:tc>
          <w:tcPr>
            <w:tcW w:type="dxa" w:w="180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Tool</w:t>
            </w:r>
          </w:p>
        </w:tc>
        <w:tc>
          <w:tcPr>
            <w:tcW w:type="dxa" w:w="5760"/>
            <w:tcBorders>
              <w:top w:val="single" w:color="CCCCDD" w:sz="1"/>
              <w:left w:val="single" w:color="CCCCDD" w:sz="1"/>
              <w:bottom w:val="single" w:color="CCCCDD" w:sz="1"/>
              <w:right w:val="single" w:color="CCCCDD"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What It Monitors</w:t>
            </w:r>
          </w:p>
        </w:tc>
      </w:tr>
      <w:tr>
        <w:tc>
          <w:tcPr>
            <w:tcW w:type="dxa" w:w="18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Metrics</w:t>
            </w:r>
          </w:p>
        </w:tc>
        <w:tc>
          <w:tcPr>
            <w:tcW w:type="dxa" w:w="18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Prometheus</w:t>
            </w:r>
          </w:p>
        </w:tc>
        <w:tc>
          <w:tcPr>
            <w:tcW w:type="dxa" w:w="576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Hardware utilization, token generation speeds, VRAM consumption</w:t>
            </w:r>
          </w:p>
        </w:tc>
      </w:tr>
      <w:tr>
        <w:tc>
          <w:tcPr>
            <w:tcW w:type="dxa" w:w="1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Logging</w:t>
            </w:r>
          </w:p>
        </w:tc>
        <w:tc>
          <w:tcPr>
            <w:tcW w:type="dxa" w:w="1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Loki</w:t>
            </w:r>
          </w:p>
        </w:tc>
        <w:tc>
          <w:tcPr>
            <w:tcW w:type="dxa" w:w="57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Docker stdout from all containers, Python tracebacks</w:t>
            </w:r>
          </w:p>
        </w:tc>
      </w:tr>
      <w:tr>
        <w:tc>
          <w:tcPr>
            <w:tcW w:type="dxa" w:w="18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Tracing</w:t>
            </w:r>
          </w:p>
        </w:tc>
        <w:tc>
          <w:tcPr>
            <w:tcW w:type="dxa" w:w="180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Jaeger</w:t>
            </w:r>
          </w:p>
        </w:tc>
        <w:tc>
          <w:tcPr>
            <w:tcW w:type="dxa" w:w="5760"/>
            <w:tcBorders>
              <w:top w:val="single" w:color="CCCCDD" w:sz="1"/>
              <w:left w:val="single" w:color="CCCCDD" w:sz="1"/>
              <w:bottom w:val="single" w:color="CCCCDD" w:sz="1"/>
              <w:right w:val="single" w:color="CCCCDD" w:sz="1"/>
            </w:tcBorders>
            <w:shd w:fill="F5F0FF" w:val="clear"/>
            <w:tcMar>
              <w:top w:type="dxa" w:w="80"/>
              <w:left w:type="dxa" w:w="120"/>
              <w:bottom w:type="dxa" w:w="80"/>
              <w:right w:type="dxa" w:w="120"/>
            </w:tcMar>
          </w:tcPr>
          <w:p>
            <w:r>
              <w:rPr>
                <w:rFonts w:ascii="Arial" w:cs="Arial" w:eastAsia="Arial" w:hAnsi="Arial"/>
                <w:color w:val="0A0A0A"/>
                <w:sz w:val="18"/>
                <w:szCs w:val="18"/>
              </w:rPr>
              <w:t xml:space="preserve">Complete lifecycle of every ControlFlow task from input to output</w:t>
            </w:r>
          </w:p>
        </w:tc>
      </w:tr>
      <w:tr>
        <w:tc>
          <w:tcPr>
            <w:tcW w:type="dxa" w:w="1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Alerting</w:t>
            </w:r>
          </w:p>
        </w:tc>
        <w:tc>
          <w:tcPr>
            <w:tcW w:type="dxa" w:w="1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Alertmanager</w:t>
            </w:r>
          </w:p>
        </w:tc>
        <w:tc>
          <w:tcPr>
            <w:tcW w:type="dxa" w:w="57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0A0A0A"/>
                <w:sz w:val="18"/>
                <w:szCs w:val="18"/>
              </w:rPr>
              <w:t xml:space="preserve">Repetitive output loops, memory exceeding 90% threshold</w:t>
            </w:r>
          </w:p>
        </w:tc>
      </w:tr>
    </w:tbl>
    <w:p>
      <w:pPr>
        <w:spacing w:after="80" w:before="80"/>
      </w:pPr>
    </w:p>
    <w:p>
      <w:pPr>
        <w:spacing w:after="100" w:before="100" w:line="320"/>
        <w:jc w:val="both"/>
      </w:pPr>
      <w:r>
        <w:rPr>
          <w:rFonts w:ascii="Arial" w:cs="Arial" w:eastAsia="Arial" w:hAnsi="Arial"/>
          <w:color w:val="0A0A0A"/>
          <w:sz w:val="22"/>
          <w:szCs w:val="22"/>
        </w:rPr>
        <w:t xml:space="preserve">Instrument business metrics alongside infrastructure metrics: Time to Actionable Insight and Agent Error Correction Rates reveal whether the system is achieving its cognitive mission, not just staying online. Retain 100% of failed workflows for debugging but sample only 10% of successful workflows for baseline metrics — this controls storage costs while preserving complete failure forensics.</w:t>
      </w:r>
    </w:p>
    <w:p>
      <w:pPr>
        <w:pBdr>
          <w:bottom w:val="single" w:color="C9A84C" w:sz="6" w:space="1"/>
        </w:pBdr>
        <w:spacing w:after="200" w:before="200"/>
      </w:pPr>
    </w:p>
    <w:p>
      <w:pPr>
        <w:pStyle w:val="Heading1"/>
        <w:spacing w:after="200" w:before="480"/>
      </w:pPr>
      <w:r>
        <w:rPr>
          <w:rFonts w:ascii="Arial" w:cs="Arial" w:eastAsia="Arial" w:hAnsi="Arial"/>
          <w:b/>
          <w:bCs/>
          <w:color w:val="1A1A2E"/>
          <w:sz w:val="38"/>
          <w:szCs w:val="38"/>
        </w:rPr>
        <w:t xml:space="preserve">Part VI: Advanced Feature Integration</w:t>
      </w:r>
    </w:p>
    <w:p>
      <w:pPr>
        <w:pStyle w:val="Heading2"/>
        <w:spacing w:after="140" w:before="300"/>
      </w:pPr>
      <w:r>
        <w:rPr>
          <w:rFonts w:ascii="Arial" w:cs="Arial" w:eastAsia="Arial" w:hAnsi="Arial"/>
          <w:b/>
          <w:bCs/>
          <w:color w:val="7B2FBE"/>
          <w:sz w:val="26"/>
          <w:szCs w:val="26"/>
        </w:rPr>
        <w:t xml:space="preserve">6.1 Dual-Backend Stream Processing: Rust + Python</w:t>
      </w:r>
    </w:p>
    <w:p>
      <w:pPr>
        <w:spacing w:after="100" w:before="100" w:line="320"/>
        <w:jc w:val="both"/>
      </w:pPr>
      <w:r>
        <w:rPr>
          <w:rFonts w:ascii="Arial" w:cs="Arial" w:eastAsia="Arial" w:hAnsi="Arial"/>
          <w:color w:val="0A0A0A"/>
          <w:sz w:val="22"/>
          <w:szCs w:val="22"/>
        </w:rPr>
        <w:t xml:space="preserve">While Python via ControlFlow dominates AI orchestration logic, relying on Python for high-speed data ingestion introduces latency. Implementing a Rust-based backend for stream processing creates a memory-safe, high-performance data pipeline that feeds refined data into the Python AI layer.</w:t>
      </w:r>
    </w:p>
    <w:p>
      <w:pPr>
        <w:spacing w:after="100" w:before="100" w:line="320"/>
        <w:jc w:val="both"/>
      </w:pPr>
      <w:r>
        <w:rPr>
          <w:rFonts w:ascii="Arial" w:cs="Arial" w:eastAsia="Arial" w:hAnsi="Arial"/>
          <w:color w:val="0A0A0A"/>
          <w:sz w:val="22"/>
          <w:szCs w:val="22"/>
        </w:rPr>
        <w:t xml:space="preserve">This dual-backend architecture protects the system from runtime memory leaks and ensures high-performance scaling for industrial telemetry ingestion — the kind of continuous high-frequency data generated by manufacturing environments or real-time monitoring systems.</w:t>
      </w:r>
    </w:p>
    <w:p>
      <w:pPr>
        <w:pStyle w:val="Heading2"/>
        <w:spacing w:after="140" w:before="300"/>
      </w:pPr>
      <w:r>
        <w:rPr>
          <w:rFonts w:ascii="Arial" w:cs="Arial" w:eastAsia="Arial" w:hAnsi="Arial"/>
          <w:b/>
          <w:bCs/>
          <w:color w:val="7B2FBE"/>
          <w:sz w:val="26"/>
          <w:szCs w:val="26"/>
        </w:rPr>
        <w:t xml:space="preserve">6.2 Chrome Extension Architecture</w:t>
      </w:r>
    </w:p>
    <w:p>
      <w:pPr>
        <w:spacing w:after="100" w:before="100" w:line="320"/>
        <w:jc w:val="both"/>
      </w:pPr>
      <w:r>
        <w:rPr>
          <w:rFonts w:ascii="Arial" w:cs="Arial" w:eastAsia="Arial" w:hAnsi="Arial"/>
          <w:color w:val="0A0A0A"/>
          <w:sz w:val="22"/>
          <w:szCs w:val="22"/>
        </w:rPr>
        <w:t xml:space="preserve">To deploy the Sovereign Stack to human operators without building extensive web applications, a Chrome Extension provides frictionless data capture. Operators highlight text or capture images directly from their browser, sending data asynchronously to the local ControlFlow backend via REST APIs.</w:t>
      </w:r>
    </w:p>
    <w:p>
      <w:pPr>
        <w:spacing w:after="100" w:before="100" w:line="320"/>
        <w:jc w:val="both"/>
      </w:pPr>
      <w:r>
        <w:rPr>
          <w:rFonts w:ascii="Arial" w:cs="Arial" w:eastAsia="Arial" w:hAnsi="Arial"/>
          <w:color w:val="0A0A0A"/>
          <w:sz w:val="22"/>
          <w:szCs w:val="22"/>
        </w:rPr>
        <w:t xml:space="preserve">Critical implementation note: rigorous Cross-Origin Resource Sharing configuration is required to ensure the extension cannot be hijacked to leak sovereign data to the public internet. The extension is a UI primitive only — all reasoning occurs locally.</w:t>
      </w:r>
    </w:p>
    <w:p>
      <w:pPr>
        <w:pStyle w:val="Heading2"/>
        <w:spacing w:after="140" w:before="300"/>
      </w:pPr>
      <w:r>
        <w:rPr>
          <w:rFonts w:ascii="Arial" w:cs="Arial" w:eastAsia="Arial" w:hAnsi="Arial"/>
          <w:b/>
          <w:bCs/>
          <w:color w:val="7B2FBE"/>
          <w:sz w:val="26"/>
          <w:szCs w:val="26"/>
        </w:rPr>
        <w:t xml:space="preserve">6.3 Cost Analysis</w:t>
      </w:r>
    </w:p>
    <w:p>
      <w:pPr>
        <w:spacing w:after="100" w:before="100" w:line="320"/>
        <w:jc w:val="both"/>
      </w:pPr>
      <w:r>
        <w:rPr>
          <w:rFonts w:ascii="Arial" w:cs="Arial" w:eastAsia="Arial" w:hAnsi="Arial"/>
          <w:color w:val="0A0A0A"/>
          <w:sz w:val="22"/>
          <w:szCs w:val="22"/>
        </w:rPr>
        <w:t xml:space="preserve">The economic case for the Sovereign Stack is unambiguous. One-time capital expenditure of approximately $1,200-$2,000 for Mac Mini M4 hardware entirely eliminates recurring cloud GPU costs for static image and text processing. API consumption costs are strictly bounded to Twelve Labs for video processing, priced per minute of processed footage.</w:t>
      </w:r>
    </w:p>
    <w:p>
      <w:pPr>
        <w:spacing w:after="100" w:before="100" w:line="320"/>
        <w:jc w:val="both"/>
      </w:pPr>
      <w:r>
        <w:rPr>
          <w:rFonts w:ascii="Arial" w:cs="Arial" w:eastAsia="Arial" w:hAnsi="Arial"/>
          <w:color w:val="0A0A0A"/>
          <w:sz w:val="22"/>
          <w:szCs w:val="22"/>
        </w:rPr>
        <w:t xml:space="preserve">The critical optimization: implement video hash-based caching in the Twelve Labs pipeline. If a video has previously been embedded into LanceDB, the ControlFlow agent retrieves the local vector rather than requesting a new API generation. This single optimization can reduce operational costs by 60-80% for workflows involving recurring content.</w:t>
      </w:r>
    </w:p>
    <w:p>
      <w:pPr>
        <w:pBdr>
          <w:bottom w:val="single" w:color="C9A84C" w:sz="6" w:space="1"/>
        </w:pBdr>
        <w:spacing w:after="200" w:before="200"/>
      </w:pPr>
    </w:p>
    <w:p>
      <w:pPr>
        <w:pStyle w:val="Heading1"/>
        <w:spacing w:after="200" w:before="480"/>
      </w:pPr>
      <w:r>
        <w:rPr>
          <w:rFonts w:ascii="Arial" w:cs="Arial" w:eastAsia="Arial" w:hAnsi="Arial"/>
          <w:b/>
          <w:bCs/>
          <w:color w:val="1A1A2E"/>
          <w:sz w:val="38"/>
          <w:szCs w:val="38"/>
        </w:rPr>
        <w:t xml:space="preserve">Conclusion: The Beginning of the Trilogy</w:t>
      </w:r>
    </w:p>
    <w:p>
      <w:pPr>
        <w:spacing w:after="100" w:before="100" w:line="320"/>
        <w:jc w:val="both"/>
      </w:pPr>
      <w:r>
        <w:rPr>
          <w:rFonts w:ascii="Arial" w:cs="Arial" w:eastAsia="Arial" w:hAnsi="Arial"/>
          <w:color w:val="0A0A0A"/>
          <w:sz w:val="22"/>
          <w:szCs w:val="22"/>
        </w:rPr>
        <w:t xml:space="preserve">The Sovereign Edge Architecture is the first proof. The proof that an individual operator, on consumer hardware, without cloud dependency, can build and run a multi-thousand-agent intelligence system that owns its data, controls its reasoning, and heals its own failures.</w:t>
      </w:r>
    </w:p>
    <w:p>
      <w:pPr>
        <w:spacing w:after="100" w:before="100" w:line="320"/>
        <w:jc w:val="both"/>
      </w:pPr>
      <w:r>
        <w:rPr>
          <w:rFonts w:ascii="Arial" w:cs="Arial" w:eastAsia="Arial" w:hAnsi="Arial"/>
          <w:color w:val="0A0A0A"/>
          <w:sz w:val="22"/>
          <w:szCs w:val="22"/>
        </w:rPr>
        <w:t xml:space="preserve">Everything in this blueprint is buildable today. The models exist. The frameworks exist. The hardware exists. What has been missing is the architectural synthesis — the vision of how these components form a coherent sovereign system rather than a collection of disconnected tools.</w:t>
      </w:r>
    </w:p>
    <w:p>
      <w:pPr>
        <w:spacing w:after="100" w:before="100" w:line="320"/>
        <w:jc w:val="both"/>
      </w:pPr>
      <w:r>
        <w:rPr>
          <w:rFonts w:ascii="Arial" w:cs="Arial" w:eastAsia="Arial" w:hAnsi="Arial"/>
          <w:color w:val="0A0A0A"/>
          <w:sz w:val="22"/>
          <w:szCs w:val="22"/>
        </w:rPr>
        <w:t xml:space="preserve">This paper provides that synthesis. The next two papers in the trilogy extend it into hardware-aware cognitive architectures and perpetual autonomous operation.</w:t>
      </w:r>
    </w:p>
    <w:p>
      <w:pPr>
        <w:spacing w:after="100" w:before="100" w:line="320"/>
        <w:jc w:val="both"/>
      </w:pPr>
      <w:r>
        <w:rPr>
          <w:rFonts w:ascii="Arial" w:cs="Arial" w:eastAsia="Arial" w:hAnsi="Arial"/>
          <w:color w:val="0A0A0A"/>
          <w:sz w:val="22"/>
          <w:szCs w:val="22"/>
        </w:rPr>
        <w:t xml:space="preserve">The trilogy does not describe what AI will become. It describes what AI already is — for those willing to build it themselves.</w:t>
      </w:r>
    </w:p>
    <w:p>
      <w:pPr>
        <w:spacing w:after="80" w:before="80"/>
      </w:pPr>
    </w:p>
    <w:p>
      <w:pPr>
        <w:spacing w:after="80" w:before="80"/>
      </w:pPr>
    </w:p>
    <w:p>
      <w:pPr>
        <w:pBdr>
          <w:top w:val="single" w:color="C9A84C" w:sz="6" w:space="1"/>
          <w:bottom w:val="single" w:color="C9A84C" w:sz="6" w:space="1"/>
        </w:pBdr>
        <w:spacing w:after="240" w:before="240"/>
        <w:jc w:val="center"/>
      </w:pPr>
      <w:r>
        <w:rPr>
          <w:rFonts w:ascii="Arial" w:cs="Arial" w:eastAsia="Arial" w:hAnsi="Arial"/>
          <w:b/>
          <w:bCs/>
          <w:i/>
          <w:iCs/>
          <w:color w:val="1A1A2E"/>
          <w:sz w:val="22"/>
          <w:szCs w:val="22"/>
        </w:rPr>
        <w:t xml:space="preserve">This is a living document. As you build, you discover. When you do — share it back. The sovereignty belongs to everyone.</w:t>
      </w:r>
    </w:p>
    <w:p>
      <w:pPr>
        <w:spacing w:after="80" w:before="80"/>
      </w:pPr>
    </w:p>
    <w:p>
      <w:pPr>
        <w:spacing w:after="80" w:before="80"/>
      </w:pPr>
    </w:p>
    <w:p>
      <w:pPr>
        <w:spacing w:after="80" w:before="200"/>
        <w:jc w:val="center"/>
      </w:pPr>
      <w:r>
        <w:rPr>
          <w:rFonts w:ascii="Arial" w:cs="Arial" w:eastAsia="Arial" w:hAnsi="Arial"/>
          <w:b/>
          <w:bCs/>
          <w:color w:val="0A0A0A"/>
          <w:sz w:val="28"/>
          <w:szCs w:val="28"/>
        </w:rPr>
        <w:t xml:space="preserve">Lord Wilson</w:t>
      </w:r>
    </w:p>
    <w:p>
      <w:pPr>
        <w:spacing w:after="80" w:before="0"/>
        <w:jc w:val="center"/>
      </w:pPr>
      <w:r>
        <w:rPr>
          <w:rFonts w:ascii="Arial" w:cs="Arial" w:eastAsia="Arial" w:hAnsi="Arial"/>
          <w:i/>
          <w:iCs/>
          <w:color w:val="666666"/>
          <w:sz w:val="22"/>
          <w:szCs w:val="22"/>
        </w:rPr>
        <w:t xml:space="preserve">Black Swan Labs | Sovereign Stack Series | Blueprint I of III</w:t>
      </w:r>
    </w:p>
    <w:p>
      <w:pPr>
        <w:spacing w:after="80" w:before="0"/>
        <w:jc w:val="center"/>
      </w:pPr>
      <w:r>
        <w:rPr>
          <w:rFonts w:ascii="Arial" w:cs="Arial" w:eastAsia="Arial" w:hAnsi="Arial"/>
          <w:color w:val="7B2FBE"/>
          <w:sz w:val="22"/>
          <w:szCs w:val="22"/>
        </w:rPr>
        <w:t xml:space="preserve">github.com/lordwilsonDev/sovereign-stack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7B2FB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2026-03-01T23:52:07.161Z</dcterms:created>
  <dcterms:modified xsi:type="dcterms:W3CDTF">2026-03-01T23:52:07.163Z</dcterms:modified>
</cp:coreProperties>
</file>

<file path=docProps/custom.xml><?xml version="1.0" encoding="utf-8"?>
<Properties xmlns="http://schemas.openxmlformats.org/officeDocument/2006/custom-properties" xmlns:vt="http://schemas.openxmlformats.org/officeDocument/2006/docPropsVTypes"/>
</file>