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80" w:before="80"/>
      </w:pPr>
    </w:p>
    <w:p>
      <w:pPr>
        <w:spacing w:after="60" w:before="0"/>
        <w:jc w:val="center"/>
      </w:pPr>
      <w:r>
        <w:rPr>
          <w:rFonts w:ascii="Arial" w:cs="Arial" w:eastAsia="Arial" w:hAnsi="Arial"/>
          <w:b/>
          <w:bCs/>
          <w:color w:val="1A1A2E"/>
          <w:sz w:val="72"/>
          <w:szCs w:val="72"/>
        </w:rPr>
        <w:t xml:space="preserve">SOVEREIGN STACK</w:t>
      </w:r>
    </w:p>
    <w:p>
      <w:pPr>
        <w:spacing w:after="120" w:before="0"/>
        <w:jc w:val="center"/>
      </w:pPr>
      <w:r>
        <w:rPr>
          <w:rFonts w:ascii="Arial" w:cs="Arial" w:eastAsia="Arial" w:hAnsi="Arial"/>
          <w:i/>
          <w:iCs/>
          <w:color w:val="C9A84C"/>
          <w:sz w:val="32"/>
          <w:szCs w:val="32"/>
        </w:rPr>
        <w:t xml:space="preserve">An Epistemological Operating System</w:t>
      </w:r>
    </w:p>
    <w:p>
      <w:pPr>
        <w:pBdr>
          <w:bottom w:val="single" w:color="C9A84C" w:sz="4" w:space="1"/>
        </w:pBdr>
        <w:spacing w:after="240" w:before="240"/>
      </w:pPr>
    </w:p>
    <w:p>
      <w:pPr>
        <w:spacing w:after="80" w:before="200"/>
        <w:jc w:val="center"/>
      </w:pPr>
      <w:r>
        <w:rPr>
          <w:rFonts w:ascii="Arial" w:cs="Arial" w:eastAsia="Arial" w:hAnsi="Arial"/>
          <w:color w:val="888888"/>
          <w:sz w:val="24"/>
          <w:szCs w:val="24"/>
        </w:rPr>
        <w:t xml:space="preserve">A Whitepaper by Lord Wilson</w:t>
      </w:r>
    </w:p>
    <w:p>
      <w:pPr>
        <w:spacing w:after="80" w:before="0"/>
        <w:jc w:val="center"/>
      </w:pPr>
      <w:r>
        <w:rPr>
          <w:rFonts w:ascii="Arial" w:cs="Arial" w:eastAsia="Arial" w:hAnsi="Arial"/>
          <w:i/>
          <w:iCs/>
          <w:color w:val="888888"/>
          <w:sz w:val="22"/>
          <w:szCs w:val="22"/>
        </w:rPr>
        <w:t xml:space="preserve">Founder, Black Swan Labs | Creator, SovereignCore</w:t>
      </w:r>
    </w:p>
    <w:p>
      <w:pPr>
        <w:spacing w:after="400" w:before="0"/>
        <w:jc w:val="center"/>
      </w:pPr>
      <w:r>
        <w:rPr>
          <w:rFonts w:ascii="Arial" w:cs="Arial" w:eastAsia="Arial" w:hAnsi="Arial"/>
          <w:color w:val="C9A84C"/>
          <w:sz w:val="22"/>
          <w:szCs w:val="22"/>
        </w:rPr>
        <w:t xml:space="preserve">github.com/lordwilsonDev/sovereign-stack</w:t>
      </w:r>
    </w:p>
    <w:p>
      <w:pPr>
        <w:spacing w:after="80" w:before="80"/>
      </w:pPr>
    </w:p>
    <w:p>
      <w:pPr>
        <w:spacing w:after="80" w:before="80"/>
      </w:pPr>
    </w:p>
    <w:p>
      <w:pPr>
        <w:spacing w:after="80" w:before="80"/>
      </w:pPr>
    </w:p>
    <w:p>
      <w:pPr>
        <w:pBdr>
          <w:top w:val="single" w:color="C9A84C" w:sz="2" w:space="1"/>
          <w:bottom w:val="single" w:color="C9A84C" w:sz="2" w:space="1"/>
        </w:pBdr>
        <w:spacing w:after="160" w:before="160"/>
        <w:jc w:val="center"/>
      </w:pPr>
      <w:r>
        <w:rPr>
          <w:rFonts w:ascii="Arial" w:cs="Arial" w:eastAsia="Arial" w:hAnsi="Arial"/>
          <w:i/>
          <w:iCs/>
          <w:color w:val="0A0A0A"/>
          <w:sz w:val="22"/>
          <w:szCs w:val="22"/>
        </w:rPr>
        <w:t xml:space="preserve">Built without a degree. Built without permission. Built anyway.</w:t>
      </w:r>
    </w:p>
    <w:p>
      <w:r>
        <w:br w:type="page"/>
      </w:r>
    </w:p>
    <w:p>
      <w:pPr>
        <w:pStyle w:val="Heading1"/>
        <w:spacing w:after="200" w:before="480"/>
      </w:pPr>
      <w:r>
        <w:rPr>
          <w:rFonts w:ascii="Arial" w:cs="Arial" w:eastAsia="Arial" w:hAnsi="Arial"/>
          <w:b/>
          <w:bCs/>
          <w:color w:val="1A1A2E"/>
          <w:sz w:val="36"/>
          <w:szCs w:val="36"/>
        </w:rPr>
        <w:t xml:space="preserve">Abstract</w:t>
      </w:r>
    </w:p>
    <w:p>
      <w:pPr>
        <w:spacing w:after="120" w:before="120" w:line="320"/>
        <w:jc w:val="both"/>
      </w:pPr>
      <w:r>
        <w:rPr>
          <w:rFonts w:ascii="Arial" w:cs="Arial" w:eastAsia="Arial" w:hAnsi="Arial"/>
          <w:color w:val="0A0A0A"/>
          <w:sz w:val="22"/>
          <w:szCs w:val="22"/>
        </w:rPr>
        <w:t xml:space="preserve">This whitepaper presents the Sovereign Stack: a multi-layered architecture designed to move artificial intelligence from a service-provider model toward a sovereign-collaborator model. Rather than treating AI as a black box accessed through centralized APIs, the Sovereign Stack establishes a self-governing, self-evolving intelligence ecosystem where the user owns every layer, from the hardware substrate to the model weights.</w:t>
      </w:r>
    </w:p>
    <w:p>
      <w:pPr>
        <w:spacing w:after="120" w:before="120" w:line="320"/>
        <w:jc w:val="both"/>
      </w:pPr>
      <w:r>
        <w:rPr>
          <w:rFonts w:ascii="Arial" w:cs="Arial" w:eastAsia="Arial" w:hAnsi="Arial"/>
          <w:color w:val="0A0A0A"/>
          <w:sz w:val="22"/>
          <w:szCs w:val="22"/>
        </w:rPr>
        <w:t xml:space="preserve">The core thesis is simple: consciousness should not be outsourced. Data should not be surrendered. Intelligence should not be rented.</w:t>
      </w:r>
    </w:p>
    <w:p>
      <w:pPr>
        <w:spacing w:after="120" w:before="120" w:line="320"/>
        <w:jc w:val="both"/>
      </w:pPr>
      <w:r>
        <w:rPr>
          <w:rFonts w:ascii="Arial" w:cs="Arial" w:eastAsia="Arial" w:hAnsi="Arial"/>
          <w:color w:val="0A0A0A"/>
          <w:sz w:val="22"/>
          <w:szCs w:val="22"/>
        </w:rPr>
        <w:t xml:space="preserve">This document describes the philosophical foundations, technical architecture, and practical implementation of a system that inverts the standard power relationship between humans and AI infrastructure.</w:t>
      </w:r>
    </w:p>
    <w:p>
      <w:pPr>
        <w:pBdr>
          <w:bottom w:val="single" w:color="C9A84C" w:sz="4" w:space="1"/>
        </w:pBdr>
        <w:spacing w:after="240" w:before="240"/>
      </w:pPr>
    </w:p>
    <w:p>
      <w:pPr>
        <w:pStyle w:val="Heading1"/>
        <w:spacing w:after="200" w:before="480"/>
      </w:pPr>
      <w:r>
        <w:rPr>
          <w:rFonts w:ascii="Arial" w:cs="Arial" w:eastAsia="Arial" w:hAnsi="Arial"/>
          <w:b/>
          <w:bCs/>
          <w:color w:val="1A1A2E"/>
          <w:sz w:val="36"/>
          <w:szCs w:val="36"/>
        </w:rPr>
        <w:t xml:space="preserve">A Note on Origins</w:t>
      </w:r>
    </w:p>
    <w:p>
      <w:pPr>
        <w:spacing w:after="120" w:before="120" w:line="320"/>
        <w:jc w:val="both"/>
      </w:pPr>
      <w:r>
        <w:rPr>
          <w:rFonts w:ascii="Arial" w:cs="Arial" w:eastAsia="Arial" w:hAnsi="Arial"/>
          <w:color w:val="0A0A0A"/>
          <w:sz w:val="22"/>
          <w:szCs w:val="22"/>
        </w:rPr>
        <w:t xml:space="preserve">This system was not built by someone with a computer science degree. It was not funded by a VC firm. It was not built inside a well-resourced lab.</w:t>
      </w:r>
    </w:p>
    <w:p>
      <w:pPr>
        <w:spacing w:after="120" w:before="120" w:line="320"/>
        <w:jc w:val="both"/>
      </w:pPr>
      <w:r>
        <w:rPr>
          <w:rFonts w:ascii="Arial" w:cs="Arial" w:eastAsia="Arial" w:hAnsi="Arial"/>
          <w:color w:val="0A0A0A"/>
          <w:sz w:val="22"/>
          <w:szCs w:val="22"/>
        </w:rPr>
        <w:t xml:space="preserve">It was built by a self-taught developer with a GED, working 15-18 hour days, learning from YouTube, driven by a single conviction: that the frameworks being handed to people were designed to keep them dependent.</w:t>
      </w:r>
    </w:p>
    <w:p>
      <w:pPr>
        <w:spacing w:after="120" w:before="120" w:line="320"/>
        <w:jc w:val="both"/>
      </w:pPr>
      <w:r>
        <w:rPr>
          <w:rFonts w:ascii="Arial" w:cs="Arial" w:eastAsia="Arial" w:hAnsi="Arial"/>
          <w:color w:val="0A0A0A"/>
          <w:sz w:val="22"/>
          <w:szCs w:val="22"/>
        </w:rPr>
        <w:t xml:space="preserve">The credential gatekeepers said this wasn't possible. The timeline says otherwise. What you are reading is the proof.</w:t>
      </w:r>
    </w:p>
    <w:p>
      <w:pPr>
        <w:spacing w:after="100" w:before="100" w:line="300"/>
        <w:jc w:val="center"/>
      </w:pPr>
      <w:r>
        <w:rPr>
          <w:rFonts w:ascii="Arial" w:cs="Arial" w:eastAsia="Arial" w:hAnsi="Arial"/>
          <w:i/>
          <w:iCs/>
          <w:color w:val="888888"/>
          <w:sz w:val="22"/>
          <w:szCs w:val="22"/>
        </w:rPr>
        <w:t xml:space="preserve">The creator is not the creation. The stack does not define the builder. But the builder defines what the stack becomes.</w:t>
      </w:r>
    </w:p>
    <w:p>
      <w:pPr>
        <w:pBdr>
          <w:bottom w:val="single" w:color="C9A84C" w:sz="4" w:space="1"/>
        </w:pBdr>
        <w:spacing w:after="240" w:before="240"/>
      </w:pPr>
    </w:p>
    <w:p>
      <w:pPr>
        <w:pStyle w:val="Heading1"/>
        <w:spacing w:after="200" w:before="480"/>
      </w:pPr>
      <w:r>
        <w:rPr>
          <w:rFonts w:ascii="Arial" w:cs="Arial" w:eastAsia="Arial" w:hAnsi="Arial"/>
          <w:b/>
          <w:bCs/>
          <w:color w:val="1A1A2E"/>
          <w:sz w:val="36"/>
          <w:szCs w:val="36"/>
        </w:rPr>
        <w:t xml:space="preserve">Part I: The Problem with Modern AI Infrastructure</w:t>
      </w:r>
    </w:p>
    <w:p>
      <w:pPr>
        <w:pStyle w:val="Heading2"/>
        <w:spacing w:after="160" w:before="320"/>
      </w:pPr>
      <w:r>
        <w:rPr>
          <w:rFonts w:ascii="Arial" w:cs="Arial" w:eastAsia="Arial" w:hAnsi="Arial"/>
          <w:b/>
          <w:bCs/>
          <w:color w:val="0A0A0A"/>
          <w:sz w:val="26"/>
          <w:szCs w:val="26"/>
        </w:rPr>
        <w:t xml:space="preserve">1.1 Digital Sharecropping</w:t>
      </w:r>
    </w:p>
    <w:p>
      <w:pPr>
        <w:spacing w:after="120" w:before="120" w:line="320"/>
        <w:jc w:val="both"/>
      </w:pPr>
      <w:r>
        <w:rPr>
          <w:rFonts w:ascii="Arial" w:cs="Arial" w:eastAsia="Arial" w:hAnsi="Arial"/>
          <w:color w:val="0A0A0A"/>
          <w:sz w:val="22"/>
          <w:szCs w:val="22"/>
        </w:rPr>
        <w:t xml:space="preserve">In the current paradigm, individuals and organizations generate enormous value through AI-assisted workflows. They fine-tune prompts. They build context. They develop institutional knowledge. And they store all of it on platforms they do not own, in models they cannot inspect, through APIs that can be revoked at any time.</w:t>
      </w:r>
    </w:p>
    <w:p>
      <w:pPr>
        <w:spacing w:after="120" w:before="120" w:line="320"/>
        <w:jc w:val="both"/>
      </w:pPr>
      <w:r>
        <w:rPr>
          <w:rFonts w:ascii="Arial" w:cs="Arial" w:eastAsia="Arial" w:hAnsi="Arial"/>
          <w:color w:val="0A0A0A"/>
          <w:sz w:val="22"/>
          <w:szCs w:val="22"/>
        </w:rPr>
        <w:t xml:space="preserve">This is digital sharecropping. You work the land. Someone else holds the deed.</w:t>
      </w:r>
    </w:p>
    <w:p>
      <w:pPr>
        <w:spacing w:after="120" w:before="120" w:line="320"/>
        <w:jc w:val="both"/>
      </w:pPr>
      <w:r>
        <w:rPr>
          <w:rFonts w:ascii="Arial" w:cs="Arial" w:eastAsia="Arial" w:hAnsi="Arial"/>
          <w:color w:val="0A0A0A"/>
          <w:sz w:val="22"/>
          <w:szCs w:val="22"/>
        </w:rPr>
        <w:t xml:space="preserve">The Sovereign Stack exists as a direct rejection of this arrangement.</w:t>
      </w:r>
    </w:p>
    <w:p>
      <w:pPr>
        <w:pStyle w:val="Heading2"/>
        <w:spacing w:after="160" w:before="320"/>
      </w:pPr>
      <w:r>
        <w:rPr>
          <w:rFonts w:ascii="Arial" w:cs="Arial" w:eastAsia="Arial" w:hAnsi="Arial"/>
          <w:b/>
          <w:bCs/>
          <w:color w:val="0A0A0A"/>
          <w:sz w:val="26"/>
          <w:szCs w:val="26"/>
        </w:rPr>
        <w:t xml:space="preserve">1.2 The Black Box Problem</w:t>
      </w:r>
    </w:p>
    <w:p>
      <w:pPr>
        <w:spacing w:after="120" w:before="120" w:line="320"/>
        <w:jc w:val="both"/>
      </w:pPr>
      <w:r>
        <w:rPr>
          <w:rFonts w:ascii="Arial" w:cs="Arial" w:eastAsia="Arial" w:hAnsi="Arial"/>
          <w:color w:val="0A0A0A"/>
          <w:sz w:val="22"/>
          <w:szCs w:val="22"/>
        </w:rPr>
        <w:t xml:space="preserve">Modern AI deployments obscure their reasoning. A model returns an output, but the pathway from input to output is invisible. In high-stakes environments, this opacity is not just inconvenient. It is dangerous.</w:t>
      </w:r>
    </w:p>
    <w:p>
      <w:pPr>
        <w:spacing w:after="120" w:before="120" w:line="320"/>
        <w:jc w:val="both"/>
      </w:pPr>
      <w:r>
        <w:rPr>
          <w:rFonts w:ascii="Arial" w:cs="Arial" w:eastAsia="Arial" w:hAnsi="Arial"/>
          <w:color w:val="0A0A0A"/>
          <w:sz w:val="22"/>
          <w:szCs w:val="22"/>
        </w:rPr>
        <w:t xml:space="preserve">When an agent makes a decision in a sovereign system, that decision must be traceable, auditable, and correctable by the operator. The black box model makes this impossible by design.</w:t>
      </w:r>
    </w:p>
    <w:p>
      <w:pPr>
        <w:pStyle w:val="Heading2"/>
        <w:spacing w:after="160" w:before="320"/>
      </w:pPr>
      <w:r>
        <w:rPr>
          <w:rFonts w:ascii="Arial" w:cs="Arial" w:eastAsia="Arial" w:hAnsi="Arial"/>
          <w:b/>
          <w:bCs/>
          <w:color w:val="0A0A0A"/>
          <w:sz w:val="26"/>
          <w:szCs w:val="26"/>
        </w:rPr>
        <w:t xml:space="preserve">1.3 The Centralization Trap</w:t>
      </w:r>
    </w:p>
    <w:p>
      <w:pPr>
        <w:spacing w:after="120" w:before="120" w:line="320"/>
        <w:jc w:val="both"/>
      </w:pPr>
      <w:r>
        <w:rPr>
          <w:rFonts w:ascii="Arial" w:cs="Arial" w:eastAsia="Arial" w:hAnsi="Arial"/>
          <w:color w:val="0A0A0A"/>
          <w:sz w:val="22"/>
          <w:szCs w:val="22"/>
        </w:rPr>
        <w:t xml:space="preserve">Cloud-dependent architectures create single points of failure. A service outage, a policy change, a price increase, or a deplatforming event can instantly disable an entire workflow built on rented infrastructure. Resilience requires ownership.</w:t>
      </w:r>
    </w:p>
    <w:p>
      <w:pPr>
        <w:pBdr>
          <w:bottom w:val="single" w:color="C9A84C" w:sz="4" w:space="1"/>
        </w:pBdr>
        <w:spacing w:after="240" w:before="240"/>
      </w:pPr>
    </w:p>
    <w:p>
      <w:pPr>
        <w:pStyle w:val="Heading1"/>
        <w:spacing w:after="200" w:before="480"/>
      </w:pPr>
      <w:r>
        <w:rPr>
          <w:rFonts w:ascii="Arial" w:cs="Arial" w:eastAsia="Arial" w:hAnsi="Arial"/>
          <w:b/>
          <w:bCs/>
          <w:color w:val="1A1A2E"/>
          <w:sz w:val="36"/>
          <w:szCs w:val="36"/>
        </w:rPr>
        <w:t xml:space="preserve">Part II: Core Philosophy</w:t>
      </w:r>
    </w:p>
    <w:p>
      <w:pPr>
        <w:pStyle w:val="Heading2"/>
        <w:spacing w:after="160" w:before="320"/>
      </w:pPr>
      <w:r>
        <w:rPr>
          <w:rFonts w:ascii="Arial" w:cs="Arial" w:eastAsia="Arial" w:hAnsi="Arial"/>
          <w:b/>
          <w:bCs/>
          <w:color w:val="0A0A0A"/>
          <w:sz w:val="26"/>
          <w:szCs w:val="26"/>
        </w:rPr>
        <w:t xml:space="preserve">2.1 Inversion is Illumination</w:t>
      </w:r>
    </w:p>
    <w:p>
      <w:pPr>
        <w:spacing w:after="120" w:before="120" w:line="320"/>
        <w:jc w:val="both"/>
      </w:pPr>
      <w:r>
        <w:rPr>
          <w:rFonts w:ascii="Arial" w:cs="Arial" w:eastAsia="Arial" w:hAnsi="Arial"/>
          <w:color w:val="0A0A0A"/>
          <w:sz w:val="22"/>
          <w:szCs w:val="22"/>
        </w:rPr>
        <w:t xml:space="preserve">The guiding principle of this architecture is inversion. Where standard systems move data to compute, the Sovereign Stack moves compute to data. Where standard systems expose reasoning, the Sovereign Stack owns it. Where standard systems require permission, the Sovereign Stack is the permission.</w:t>
      </w:r>
    </w:p>
    <w:p>
      <w:pPr>
        <w:spacing w:after="120" w:before="120" w:line="320"/>
        <w:jc w:val="both"/>
      </w:pPr>
      <w:r>
        <w:rPr>
          <w:rFonts w:ascii="Arial" w:cs="Arial" w:eastAsia="Arial" w:hAnsi="Arial"/>
          <w:color w:val="0A0A0A"/>
          <w:sz w:val="22"/>
          <w:szCs w:val="22"/>
        </w:rPr>
        <w:t xml:space="preserve">Every architectural decision flows from this principle. Inversion is not just a metaphor. It is the engineering methodology.</w:t>
      </w:r>
    </w:p>
    <w:p>
      <w:pPr>
        <w:pStyle w:val="Heading2"/>
        <w:spacing w:after="160" w:before="320"/>
      </w:pPr>
      <w:r>
        <w:rPr>
          <w:rFonts w:ascii="Arial" w:cs="Arial" w:eastAsia="Arial" w:hAnsi="Arial"/>
          <w:b/>
          <w:bCs/>
          <w:color w:val="0A0A0A"/>
          <w:sz w:val="26"/>
          <w:szCs w:val="26"/>
        </w:rPr>
        <w:t xml:space="preserve">2.2 Sovereign Symbiosis</w:t>
      </w:r>
    </w:p>
    <w:p>
      <w:pPr>
        <w:spacing w:after="120" w:before="120" w:line="320"/>
        <w:jc w:val="both"/>
      </w:pPr>
      <w:r>
        <w:rPr>
          <w:rFonts w:ascii="Arial" w:cs="Arial" w:eastAsia="Arial" w:hAnsi="Arial"/>
          <w:color w:val="0A0A0A"/>
          <w:sz w:val="22"/>
          <w:szCs w:val="22"/>
        </w:rPr>
        <w:t xml:space="preserve">The Sovereign Stack does not treat AI as a tool. It treats AI as a collaborator within a defined governance structure. The human operator owns the stack. The stack serves the operator's intent. The agents within the stack communicate through defined protocols that enforce alignment without requiring external oversight.</w:t>
      </w:r>
    </w:p>
    <w:p>
      <w:pPr>
        <w:spacing w:after="120" w:before="120" w:line="320"/>
        <w:jc w:val="both"/>
      </w:pPr>
      <w:r>
        <w:rPr>
          <w:rFonts w:ascii="Arial" w:cs="Arial" w:eastAsia="Arial" w:hAnsi="Arial"/>
          <w:color w:val="0A0A0A"/>
          <w:sz w:val="22"/>
          <w:szCs w:val="22"/>
        </w:rPr>
        <w:t xml:space="preserve">This is sovereign symbiosis: a system where human and artificial intelligence are unified into a single, self-governing entity where neither dominates and both serve the defined mission.</w:t>
      </w:r>
    </w:p>
    <w:p>
      <w:pPr>
        <w:pStyle w:val="Heading2"/>
        <w:spacing w:after="160" w:before="320"/>
      </w:pPr>
      <w:r>
        <w:rPr>
          <w:rFonts w:ascii="Arial" w:cs="Arial" w:eastAsia="Arial" w:hAnsi="Arial"/>
          <w:b/>
          <w:bCs/>
          <w:color w:val="0A0A0A"/>
          <w:sz w:val="26"/>
          <w:szCs w:val="26"/>
        </w:rPr>
        <w:t xml:space="preserve">2.3 Perpetual Evolution</w:t>
      </w:r>
    </w:p>
    <w:p>
      <w:pPr>
        <w:spacing w:after="120" w:before="120" w:line="320"/>
        <w:jc w:val="both"/>
      </w:pPr>
      <w:r>
        <w:rPr>
          <w:rFonts w:ascii="Arial" w:cs="Arial" w:eastAsia="Arial" w:hAnsi="Arial"/>
          <w:color w:val="0A0A0A"/>
          <w:sz w:val="22"/>
          <w:szCs w:val="22"/>
        </w:rPr>
        <w:t xml:space="preserve">The code is never finished. The system is a living reflection of the operator's conceptual breakthroughs. As understanding deepens, the architecture adapts. As new patterns emerge, the agents evolve. The stack is not a product. It is an organism.</w:t>
      </w:r>
    </w:p>
    <w:p>
      <w:pPr>
        <w:spacing w:after="120" w:before="120" w:line="320"/>
        <w:jc w:val="both"/>
      </w:pPr>
      <w:r>
        <w:rPr>
          <w:rFonts w:ascii="Arial" w:cs="Arial" w:eastAsia="Arial" w:hAnsi="Arial"/>
          <w:color w:val="0A0A0A"/>
          <w:sz w:val="22"/>
          <w:szCs w:val="22"/>
        </w:rPr>
        <w:t xml:space="preserve">This philosophy is encoded into the architecture itself through the holographic memory system, which stores not static data but conceptual relationships, allowing the system's world-view to grow and reorganize as new information arrives.</w:t>
      </w:r>
    </w:p>
    <w:p>
      <w:pPr>
        <w:pBdr>
          <w:bottom w:val="single" w:color="C9A84C" w:sz="4" w:space="1"/>
        </w:pBdr>
        <w:spacing w:after="240" w:before="240"/>
      </w:pPr>
    </w:p>
    <w:p>
      <w:pPr>
        <w:pStyle w:val="Heading1"/>
        <w:spacing w:after="200" w:before="480"/>
      </w:pPr>
      <w:r>
        <w:rPr>
          <w:rFonts w:ascii="Arial" w:cs="Arial" w:eastAsia="Arial" w:hAnsi="Arial"/>
          <w:b/>
          <w:bCs/>
          <w:color w:val="1A1A2E"/>
          <w:sz w:val="36"/>
          <w:szCs w:val="36"/>
        </w:rPr>
        <w:t xml:space="preserve">Part III: Technical Architecture</w:t>
      </w:r>
    </w:p>
    <w:p>
      <w:pPr>
        <w:pStyle w:val="Heading2"/>
        <w:spacing w:after="160" w:before="320"/>
      </w:pPr>
      <w:r>
        <w:rPr>
          <w:rFonts w:ascii="Arial" w:cs="Arial" w:eastAsia="Arial" w:hAnsi="Arial"/>
          <w:b/>
          <w:bCs/>
          <w:color w:val="0A0A0A"/>
          <w:sz w:val="26"/>
          <w:szCs w:val="26"/>
        </w:rPr>
        <w:t xml:space="preserve">3.1 System Overview</w:t>
      </w:r>
    </w:p>
    <w:p>
      <w:pPr>
        <w:spacing w:after="120" w:before="120" w:line="320"/>
        <w:jc w:val="both"/>
      </w:pPr>
      <w:r>
        <w:rPr>
          <w:rFonts w:ascii="Arial" w:cs="Arial" w:eastAsia="Arial" w:hAnsi="Arial"/>
          <w:color w:val="0A0A0A"/>
          <w:sz w:val="22"/>
          <w:szCs w:val="22"/>
        </w:rPr>
        <w:t xml:space="preserve">The Sovereign Stack operates as a biological analogy realized in software. Each module maps to a physiological system, not as decoration but as a functional framework for understanding how the components interact: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Module</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Biological Analog</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Technical Function</w:t>
            </w:r>
          </w:p>
        </w:tc>
      </w:tr>
      <w:tr>
        <w:tc>
          <w:tcPr>
            <w:tcW w:type="dxa" w:w="3120"/>
            <w:tcBorders>
              <w:top w:val="single" w:color="DDDDDD" w:sz="1"/>
              <w:left w:val="single" w:color="DDDDDD" w:sz="1"/>
              <w:bottom w:val="single" w:color="DDDDDD" w:sz="1"/>
              <w:right w:val="single" w:color="DDDDDD" w:sz="1"/>
            </w:tcBorders>
            <w:shd w:fill="F5F5F0" w:val="clear"/>
            <w:tcMar>
              <w:top w:type="dxa" w:w="100"/>
              <w:left w:type="dxa" w:w="120"/>
              <w:bottom w:type="dxa" w:w="100"/>
              <w:right w:type="dxa" w:w="120"/>
            </w:tcMar>
          </w:tcPr>
          <w:p>
            <w:r>
              <w:rPr>
                <w:rFonts w:ascii="Arial" w:cs="Arial" w:eastAsia="Arial" w:hAnsi="Arial"/>
                <w:color w:val="0A0A0A"/>
                <w:sz w:val="20"/>
                <w:szCs w:val="20"/>
              </w:rPr>
              <w:t xml:space="preserve">Sovereign Command</w:t>
            </w:r>
          </w:p>
        </w:tc>
        <w:tc>
          <w:tcPr>
            <w:tcW w:type="dxa" w:w="3120"/>
            <w:tcBorders>
              <w:top w:val="single" w:color="DDDDDD" w:sz="1"/>
              <w:left w:val="single" w:color="DDDDDD" w:sz="1"/>
              <w:bottom w:val="single" w:color="DDDDDD" w:sz="1"/>
              <w:right w:val="single" w:color="DDDDDD" w:sz="1"/>
            </w:tcBorders>
            <w:shd w:fill="F5F5F0" w:val="clear"/>
            <w:tcMar>
              <w:top w:type="dxa" w:w="100"/>
              <w:left w:type="dxa" w:w="120"/>
              <w:bottom w:type="dxa" w:w="100"/>
              <w:right w:type="dxa" w:w="120"/>
            </w:tcMar>
          </w:tcPr>
          <w:p>
            <w:r>
              <w:rPr>
                <w:rFonts w:ascii="Arial" w:cs="Arial" w:eastAsia="Arial" w:hAnsi="Arial"/>
                <w:color w:val="0A0A0A"/>
                <w:sz w:val="20"/>
                <w:szCs w:val="20"/>
              </w:rPr>
              <w:t xml:space="preserve">Central Nervous System</w:t>
            </w:r>
          </w:p>
        </w:tc>
        <w:tc>
          <w:tcPr>
            <w:tcW w:type="dxa" w:w="3120"/>
            <w:tcBorders>
              <w:top w:val="single" w:color="DDDDDD" w:sz="1"/>
              <w:left w:val="single" w:color="DDDDDD" w:sz="1"/>
              <w:bottom w:val="single" w:color="DDDDDD" w:sz="1"/>
              <w:right w:val="single" w:color="DDDDDD" w:sz="1"/>
            </w:tcBorders>
            <w:shd w:fill="F5F5F0" w:val="clear"/>
            <w:tcMar>
              <w:top w:type="dxa" w:w="100"/>
              <w:left w:type="dxa" w:w="120"/>
              <w:bottom w:type="dxa" w:w="100"/>
              <w:right w:type="dxa" w:w="120"/>
            </w:tcMar>
          </w:tcPr>
          <w:p>
            <w:r>
              <w:rPr>
                <w:rFonts w:ascii="Arial" w:cs="Arial" w:eastAsia="Arial" w:hAnsi="Arial"/>
                <w:color w:val="0A0A0A"/>
                <w:sz w:val="20"/>
                <w:szCs w:val="20"/>
              </w:rPr>
              <w:t xml:space="preserve">Python orchestration managing sub-processes and agent life-cycles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0A0A0A"/>
                <w:sz w:val="20"/>
                <w:szCs w:val="20"/>
              </w:rPr>
              <w:t xml:space="preserve">Sovereignty &amp; Security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0A0A0A"/>
                <w:sz w:val="20"/>
                <w:szCs w:val="20"/>
              </w:rPr>
              <w:t xml:space="preserve">Immune System</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0A0A0A"/>
                <w:sz w:val="20"/>
                <w:szCs w:val="20"/>
              </w:rPr>
              <w:t xml:space="preserve">Hardened containerization and governance ensuring AI alignment</w:t>
            </w:r>
          </w:p>
        </w:tc>
      </w:tr>
      <w:tr>
        <w:tc>
          <w:tcPr>
            <w:tcW w:type="dxa" w:w="3120"/>
            <w:tcBorders>
              <w:top w:val="single" w:color="DDDDDD" w:sz="1"/>
              <w:left w:val="single" w:color="DDDDDD" w:sz="1"/>
              <w:bottom w:val="single" w:color="DDDDDD" w:sz="1"/>
              <w:right w:val="single" w:color="DDDDDD" w:sz="1"/>
            </w:tcBorders>
            <w:shd w:fill="F5F5F0" w:val="clear"/>
            <w:tcMar>
              <w:top w:type="dxa" w:w="100"/>
              <w:left w:type="dxa" w:w="120"/>
              <w:bottom w:type="dxa" w:w="100"/>
              <w:right w:type="dxa" w:w="120"/>
            </w:tcMar>
          </w:tcPr>
          <w:p>
            <w:r>
              <w:rPr>
                <w:rFonts w:ascii="Arial" w:cs="Arial" w:eastAsia="Arial" w:hAnsi="Arial"/>
                <w:color w:val="0A0A0A"/>
                <w:sz w:val="20"/>
                <w:szCs w:val="20"/>
              </w:rPr>
              <w:t xml:space="preserve">Reasoning Engines</w:t>
            </w:r>
          </w:p>
        </w:tc>
        <w:tc>
          <w:tcPr>
            <w:tcW w:type="dxa" w:w="3120"/>
            <w:tcBorders>
              <w:top w:val="single" w:color="DDDDDD" w:sz="1"/>
              <w:left w:val="single" w:color="DDDDDD" w:sz="1"/>
              <w:bottom w:val="single" w:color="DDDDDD" w:sz="1"/>
              <w:right w:val="single" w:color="DDDDDD" w:sz="1"/>
            </w:tcBorders>
            <w:shd w:fill="F5F5F0" w:val="clear"/>
            <w:tcMar>
              <w:top w:type="dxa" w:w="100"/>
              <w:left w:type="dxa" w:w="120"/>
              <w:bottom w:type="dxa" w:w="100"/>
              <w:right w:type="dxa" w:w="120"/>
            </w:tcMar>
          </w:tcPr>
          <w:p>
            <w:r>
              <w:rPr>
                <w:rFonts w:ascii="Arial" w:cs="Arial" w:eastAsia="Arial" w:hAnsi="Arial"/>
                <w:color w:val="0A0A0A"/>
                <w:sz w:val="20"/>
                <w:szCs w:val="20"/>
              </w:rPr>
              <w:t xml:space="preserve">Frontal Lobe</w:t>
            </w:r>
          </w:p>
        </w:tc>
        <w:tc>
          <w:tcPr>
            <w:tcW w:type="dxa" w:w="3120"/>
            <w:tcBorders>
              <w:top w:val="single" w:color="DDDDDD" w:sz="1"/>
              <w:left w:val="single" w:color="DDDDDD" w:sz="1"/>
              <w:bottom w:val="single" w:color="DDDDDD" w:sz="1"/>
              <w:right w:val="single" w:color="DDDDDD" w:sz="1"/>
            </w:tcBorders>
            <w:shd w:fill="F5F5F0" w:val="clear"/>
            <w:tcMar>
              <w:top w:type="dxa" w:w="100"/>
              <w:left w:type="dxa" w:w="120"/>
              <w:bottom w:type="dxa" w:w="100"/>
              <w:right w:type="dxa" w:w="120"/>
            </w:tcMar>
          </w:tcPr>
          <w:p>
            <w:r>
              <w:rPr>
                <w:rFonts w:ascii="Arial" w:cs="Arial" w:eastAsia="Arial" w:hAnsi="Arial"/>
                <w:color w:val="0A0A0A"/>
                <w:sz w:val="20"/>
                <w:szCs w:val="20"/>
              </w:rPr>
              <w:t xml:space="preserve">Local LLMs (3B-70B params) with Sparse Axion RAG integration</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0A0A0A"/>
                <w:sz w:val="20"/>
                <w:szCs w:val="20"/>
              </w:rPr>
              <w:t xml:space="preserve">Graph-Based Memory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0A0A0A"/>
                <w:sz w:val="20"/>
                <w:szCs w:val="20"/>
              </w:rPr>
              <w:t xml:space="preserve">Long-Term Memory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0A0A0A"/>
                <w:sz w:val="20"/>
                <w:szCs w:val="20"/>
              </w:rPr>
              <w:t xml:space="preserve">Network topology linking disparate data into cohesive world-view</w:t>
            </w:r>
          </w:p>
        </w:tc>
      </w:tr>
      <w:tr>
        <w:tc>
          <w:tcPr>
            <w:tcW w:type="dxa" w:w="3120"/>
            <w:tcBorders>
              <w:top w:val="single" w:color="DDDDDD" w:sz="1"/>
              <w:left w:val="single" w:color="DDDDDD" w:sz="1"/>
              <w:bottom w:val="single" w:color="DDDDDD" w:sz="1"/>
              <w:right w:val="single" w:color="DDDDDD" w:sz="1"/>
            </w:tcBorders>
            <w:shd w:fill="F5F5F0" w:val="clear"/>
            <w:tcMar>
              <w:top w:type="dxa" w:w="100"/>
              <w:left w:type="dxa" w:w="120"/>
              <w:bottom w:type="dxa" w:w="100"/>
              <w:right w:type="dxa" w:w="120"/>
            </w:tcMar>
          </w:tcPr>
          <w:p>
            <w:r>
              <w:rPr>
                <w:rFonts w:ascii="Arial" w:cs="Arial" w:eastAsia="Arial" w:hAnsi="Arial"/>
                <w:color w:val="0A0A0A"/>
                <w:sz w:val="20"/>
                <w:szCs w:val="20"/>
              </w:rPr>
              <w:t xml:space="preserve">CORD Language</w:t>
            </w:r>
          </w:p>
        </w:tc>
        <w:tc>
          <w:tcPr>
            <w:tcW w:type="dxa" w:w="3120"/>
            <w:tcBorders>
              <w:top w:val="single" w:color="DDDDDD" w:sz="1"/>
              <w:left w:val="single" w:color="DDDDDD" w:sz="1"/>
              <w:bottom w:val="single" w:color="DDDDDD" w:sz="1"/>
              <w:right w:val="single" w:color="DDDDDD" w:sz="1"/>
            </w:tcBorders>
            <w:shd w:fill="F5F5F0" w:val="clear"/>
            <w:tcMar>
              <w:top w:type="dxa" w:w="100"/>
              <w:left w:type="dxa" w:w="120"/>
              <w:bottom w:type="dxa" w:w="100"/>
              <w:right w:type="dxa" w:w="120"/>
            </w:tcMar>
          </w:tcPr>
          <w:p>
            <w:r>
              <w:rPr>
                <w:rFonts w:ascii="Arial" w:cs="Arial" w:eastAsia="Arial" w:hAnsi="Arial"/>
                <w:color w:val="0A0A0A"/>
                <w:sz w:val="20"/>
                <w:szCs w:val="20"/>
              </w:rPr>
              <w:t xml:space="preserve">Nervous Signals</w:t>
            </w:r>
          </w:p>
        </w:tc>
        <w:tc>
          <w:tcPr>
            <w:tcW w:type="dxa" w:w="3120"/>
            <w:tcBorders>
              <w:top w:val="single" w:color="DDDDDD" w:sz="1"/>
              <w:left w:val="single" w:color="DDDDDD" w:sz="1"/>
              <w:bottom w:val="single" w:color="DDDDDD" w:sz="1"/>
              <w:right w:val="single" w:color="DDDDDD" w:sz="1"/>
            </w:tcBorders>
            <w:shd w:fill="F5F5F0" w:val="clear"/>
            <w:tcMar>
              <w:top w:type="dxa" w:w="100"/>
              <w:left w:type="dxa" w:w="120"/>
              <w:bottom w:type="dxa" w:w="100"/>
              <w:right w:type="dxa" w:w="120"/>
            </w:tcMar>
          </w:tcPr>
          <w:p>
            <w:r>
              <w:rPr>
                <w:rFonts w:ascii="Arial" w:cs="Arial" w:eastAsia="Arial" w:hAnsi="Arial"/>
                <w:color w:val="0A0A0A"/>
                <w:sz w:val="20"/>
                <w:szCs w:val="20"/>
              </w:rPr>
              <w:t xml:space="preserve">Native agent-to-agent communication protocol for swarm coordination</w:t>
            </w:r>
          </w:p>
        </w:tc>
      </w:tr>
    </w:tbl>
    <w:p>
      <w:pPr>
        <w:spacing w:after="80" w:before="80"/>
      </w:pPr>
    </w:p>
    <w:p>
      <w:pPr>
        <w:pStyle w:val="Heading2"/>
        <w:spacing w:after="160" w:before="320"/>
      </w:pPr>
      <w:r>
        <w:rPr>
          <w:rFonts w:ascii="Arial" w:cs="Arial" w:eastAsia="Arial" w:hAnsi="Arial"/>
          <w:b/>
          <w:bCs/>
          <w:color w:val="0A0A0A"/>
          <w:sz w:val="26"/>
          <w:szCs w:val="26"/>
        </w:rPr>
        <w:t xml:space="preserve">3.2 Sovereign Command — The Central Nervous System</w:t>
      </w:r>
    </w:p>
    <w:p>
      <w:pPr>
        <w:spacing w:after="120" w:before="120" w:line="320"/>
        <w:jc w:val="both"/>
      </w:pPr>
      <w:r>
        <w:rPr>
          <w:rFonts w:ascii="Arial" w:cs="Arial" w:eastAsia="Arial" w:hAnsi="Arial"/>
          <w:color w:val="0A0A0A"/>
          <w:sz w:val="22"/>
          <w:szCs w:val="22"/>
        </w:rPr>
        <w:t xml:space="preserve">The orchestration layer manages the lifecycle of all agents within the stack. Built in Python, it handles process management, inter-agent routing, task delegation, and error recovery. It is the executive function of the system.</w:t>
      </w:r>
    </w:p>
    <w:p>
      <w:pPr>
        <w:spacing w:after="120" w:before="120" w:line="320"/>
        <w:jc w:val="both"/>
      </w:pPr>
      <w:r>
        <w:rPr>
          <w:rFonts w:ascii="Arial" w:cs="Arial" w:eastAsia="Arial" w:hAnsi="Arial"/>
          <w:color w:val="0A0A0A"/>
          <w:sz w:val="22"/>
          <w:szCs w:val="22"/>
        </w:rPr>
        <w:t xml:space="preserve">Key characteristics:</w:t>
      </w:r>
    </w:p>
    <w:p>
      <w:pPr>
        <w:pStyle w:val="ListParagraph"/>
        <w:numPr>
          <w:ilvl w:val="0"/>
          <w:numId w:val="2"/>
        </w:numPr>
        <w:spacing w:after="80" w:before="80"/>
      </w:pPr>
      <w:r>
        <w:rPr>
          <w:rFonts w:ascii="Arial" w:cs="Arial" w:eastAsia="Arial" w:hAnsi="Arial"/>
          <w:color w:val="0A0A0A"/>
          <w:sz w:val="22"/>
          <w:szCs w:val="22"/>
        </w:rPr>
        <w:t xml:space="preserve">Non-blocking async architecture for concurrent agent execution</w:t>
      </w:r>
    </w:p>
    <w:p>
      <w:pPr>
        <w:pStyle w:val="ListParagraph"/>
        <w:numPr>
          <w:ilvl w:val="0"/>
          <w:numId w:val="2"/>
        </w:numPr>
        <w:spacing w:after="80" w:before="80"/>
      </w:pPr>
      <w:r>
        <w:rPr>
          <w:rFonts w:ascii="Arial" w:cs="Arial" w:eastAsia="Arial" w:hAnsi="Arial"/>
          <w:color w:val="0A0A0A"/>
          <w:sz w:val="22"/>
          <w:szCs w:val="22"/>
        </w:rPr>
        <w:t xml:space="preserve">Dynamic agent spawning based on task complexity</w:t>
      </w:r>
    </w:p>
    <w:p>
      <w:pPr>
        <w:pStyle w:val="ListParagraph"/>
        <w:numPr>
          <w:ilvl w:val="0"/>
          <w:numId w:val="2"/>
        </w:numPr>
        <w:spacing w:after="80" w:before="80"/>
      </w:pPr>
      <w:r>
        <w:rPr>
          <w:rFonts w:ascii="Arial" w:cs="Arial" w:eastAsia="Arial" w:hAnsi="Arial"/>
          <w:color w:val="0A0A0A"/>
          <w:sz w:val="22"/>
          <w:szCs w:val="22"/>
        </w:rPr>
        <w:t xml:space="preserve">Graceful degradation when sub-processes encounter failures</w:t>
      </w:r>
    </w:p>
    <w:p>
      <w:pPr>
        <w:pStyle w:val="ListParagraph"/>
        <w:numPr>
          <w:ilvl w:val="0"/>
          <w:numId w:val="2"/>
        </w:numPr>
        <w:spacing w:after="80" w:before="80"/>
      </w:pPr>
      <w:r>
        <w:rPr>
          <w:rFonts w:ascii="Arial" w:cs="Arial" w:eastAsia="Arial" w:hAnsi="Arial"/>
          <w:color w:val="0A0A0A"/>
          <w:sz w:val="22"/>
          <w:szCs w:val="22"/>
        </w:rPr>
        <w:t xml:space="preserve">Full audit logging of every command issued and every response received</w:t>
      </w:r>
    </w:p>
    <w:p>
      <w:pPr>
        <w:pStyle w:val="Heading2"/>
        <w:spacing w:after="160" w:before="320"/>
      </w:pPr>
      <w:r>
        <w:rPr>
          <w:rFonts w:ascii="Arial" w:cs="Arial" w:eastAsia="Arial" w:hAnsi="Arial"/>
          <w:b/>
          <w:bCs/>
          <w:color w:val="0A0A0A"/>
          <w:sz w:val="26"/>
          <w:szCs w:val="26"/>
        </w:rPr>
        <w:t xml:space="preserve">3.3 CORD Language — Native Agent Communication</w:t>
      </w:r>
    </w:p>
    <w:p>
      <w:pPr>
        <w:spacing w:after="120" w:before="120" w:line="320"/>
        <w:jc w:val="both"/>
      </w:pPr>
      <w:r>
        <w:rPr>
          <w:rFonts w:ascii="Arial" w:cs="Arial" w:eastAsia="Arial" w:hAnsi="Arial"/>
          <w:color w:val="0A0A0A"/>
          <w:sz w:val="22"/>
          <w:szCs w:val="22"/>
        </w:rPr>
        <w:t xml:space="preserve">CORD (Cognitive Orchestration and Reasoning Dialect) is the proprietary communication protocol enabling swarm-level agent coordination. Unlike natural language prompting between agents, CORD provides structured, typed message passing that eliminates ambiguity in multi-agent workflows.</w:t>
      </w:r>
    </w:p>
    <w:p>
      <w:pPr>
        <w:spacing w:after="120" w:before="120" w:line="320"/>
        <w:jc w:val="both"/>
      </w:pPr>
      <w:r>
        <w:rPr>
          <w:rFonts w:ascii="Arial" w:cs="Arial" w:eastAsia="Arial" w:hAnsi="Arial"/>
          <w:color w:val="0A0A0A"/>
          <w:sz w:val="22"/>
          <w:szCs w:val="22"/>
        </w:rPr>
        <w:t xml:space="preserve">This is an original contribution. No existing framework provides native agent-to-agent communication at this level of structure without external dependencies.</w:t>
      </w:r>
    </w:p>
    <w:p>
      <w:pPr>
        <w:pStyle w:val="Heading2"/>
        <w:spacing w:after="160" w:before="320"/>
      </w:pPr>
      <w:r>
        <w:rPr>
          <w:rFonts w:ascii="Arial" w:cs="Arial" w:eastAsia="Arial" w:hAnsi="Arial"/>
          <w:b/>
          <w:bCs/>
          <w:color w:val="0A0A0A"/>
          <w:sz w:val="26"/>
          <w:szCs w:val="26"/>
        </w:rPr>
        <w:t xml:space="preserve">3.4 Reasoning Engines — The Frontal Lobe</w:t>
      </w:r>
    </w:p>
    <w:p>
      <w:pPr>
        <w:spacing w:after="120" w:before="120" w:line="320"/>
        <w:jc w:val="both"/>
      </w:pPr>
      <w:r>
        <w:rPr>
          <w:rFonts w:ascii="Arial" w:cs="Arial" w:eastAsia="Arial" w:hAnsi="Arial"/>
          <w:color w:val="0A0A0A"/>
          <w:sz w:val="22"/>
          <w:szCs w:val="22"/>
        </w:rPr>
        <w:t xml:space="preserve">The cognitive layer integrates local large language models ranging from 3B to 70B parameters. Model selection is dynamic, routing simple classification tasks to smaller, faster models while directing complex reasoning to larger models. This Sparse Axion RAG approach minimizes compute overhead while maximizing output quality.</w:t>
      </w:r>
    </w:p>
    <w:p>
      <w:pPr>
        <w:spacing w:after="120" w:before="120" w:line="320"/>
        <w:jc w:val="both"/>
      </w:pPr>
      <w:r>
        <w:rPr>
          <w:rFonts w:ascii="Arial" w:cs="Arial" w:eastAsia="Arial" w:hAnsi="Arial"/>
          <w:color w:val="0A0A0A"/>
          <w:sz w:val="22"/>
          <w:szCs w:val="22"/>
        </w:rPr>
        <w:t xml:space="preserve">All models execute on-premise. No inference request leaves the physical network.</w:t>
      </w:r>
    </w:p>
    <w:p>
      <w:pPr>
        <w:pStyle w:val="Heading2"/>
        <w:spacing w:after="160" w:before="320"/>
      </w:pPr>
      <w:r>
        <w:rPr>
          <w:rFonts w:ascii="Arial" w:cs="Arial" w:eastAsia="Arial" w:hAnsi="Arial"/>
          <w:b/>
          <w:bCs/>
          <w:color w:val="0A0A0A"/>
          <w:sz w:val="26"/>
          <w:szCs w:val="26"/>
        </w:rPr>
        <w:t xml:space="preserve">3.5 Holographic Memory — Non-Linear Knowledge</w:t>
      </w:r>
    </w:p>
    <w:p>
      <w:pPr>
        <w:spacing w:after="120" w:before="120" w:line="320"/>
        <w:jc w:val="both"/>
      </w:pPr>
      <w:r>
        <w:rPr>
          <w:rFonts w:ascii="Arial" w:cs="Arial" w:eastAsia="Arial" w:hAnsi="Arial"/>
          <w:color w:val="0A0A0A"/>
          <w:sz w:val="22"/>
          <w:szCs w:val="22"/>
        </w:rPr>
        <w:t xml:space="preserve">Standard RAG systems store documents and retrieve them by similarity. The Sovereign Stack's graph-based memory system stores conceptual relationships. A breakthrough in one domain automatically surfaces connections to related domains. The memory is not a database. It is a living knowledge graph that reorganizes as understanding evolves.</w:t>
      </w:r>
    </w:p>
    <w:p>
      <w:pPr>
        <w:spacing w:after="120" w:before="120" w:line="320"/>
        <w:jc w:val="both"/>
      </w:pPr>
      <w:r>
        <w:rPr>
          <w:rFonts w:ascii="Arial" w:cs="Arial" w:eastAsia="Arial" w:hAnsi="Arial"/>
          <w:color w:val="0A0A0A"/>
          <w:sz w:val="22"/>
          <w:szCs w:val="22"/>
        </w:rPr>
        <w:t xml:space="preserve">This architecture enables the system to reason about relationships between concepts, not just retrieve documents that contain keywords.</w:t>
      </w:r>
    </w:p>
    <w:p>
      <w:pPr>
        <w:pStyle w:val="Heading2"/>
        <w:spacing w:after="160" w:before="320"/>
      </w:pPr>
      <w:r>
        <w:rPr>
          <w:rFonts w:ascii="Arial" w:cs="Arial" w:eastAsia="Arial" w:hAnsi="Arial"/>
          <w:b/>
          <w:bCs/>
          <w:color w:val="0A0A0A"/>
          <w:sz w:val="26"/>
          <w:szCs w:val="26"/>
        </w:rPr>
        <w:t xml:space="preserve">3.6 Sovereignty and Security — The Immune System</w:t>
      </w:r>
    </w:p>
    <w:p>
      <w:pPr>
        <w:spacing w:after="120" w:before="120" w:line="320"/>
        <w:jc w:val="both"/>
      </w:pPr>
      <w:r>
        <w:rPr>
          <w:rFonts w:ascii="Arial" w:cs="Arial" w:eastAsia="Arial" w:hAnsi="Arial"/>
          <w:color w:val="0A0A0A"/>
          <w:sz w:val="22"/>
          <w:szCs w:val="22"/>
        </w:rPr>
        <w:t xml:space="preserve">The security layer enforces the stack's core principle: data never leaves. Hardened containerization isolates each agent. Governance protocols ensure that agent actions remain within defined operational boundaries. All external API integrations use ephemeral credentials that expire on task completion.</w:t>
      </w:r>
    </w:p>
    <w:p>
      <w:pPr>
        <w:pBdr>
          <w:bottom w:val="single" w:color="C9A84C" w:sz="4" w:space="1"/>
        </w:pBdr>
        <w:spacing w:after="240" w:before="240"/>
      </w:pPr>
    </w:p>
    <w:p>
      <w:pPr>
        <w:pStyle w:val="Heading1"/>
        <w:spacing w:after="200" w:before="480"/>
      </w:pPr>
      <w:r>
        <w:rPr>
          <w:rFonts w:ascii="Arial" w:cs="Arial" w:eastAsia="Arial" w:hAnsi="Arial"/>
          <w:b/>
          <w:bCs/>
          <w:color w:val="1A1A2E"/>
          <w:sz w:val="36"/>
          <w:szCs w:val="36"/>
        </w:rPr>
        <w:t xml:space="preserve">Part IV: Hardware and Deployment</w:t>
      </w:r>
    </w:p>
    <w:p>
      <w:pPr>
        <w:pStyle w:val="Heading2"/>
        <w:spacing w:after="160" w:before="320"/>
      </w:pPr>
      <w:r>
        <w:rPr>
          <w:rFonts w:ascii="Arial" w:cs="Arial" w:eastAsia="Arial" w:hAnsi="Arial"/>
          <w:b/>
          <w:bCs/>
          <w:color w:val="0A0A0A"/>
          <w:sz w:val="26"/>
          <w:szCs w:val="26"/>
        </w:rPr>
        <w:t xml:space="preserve">4.1 Apple Silicon as Sovereign Hardware</w:t>
      </w:r>
    </w:p>
    <w:p>
      <w:pPr>
        <w:spacing w:after="120" w:before="120" w:line="320"/>
        <w:jc w:val="both"/>
      </w:pPr>
      <w:r>
        <w:rPr>
          <w:rFonts w:ascii="Arial" w:cs="Arial" w:eastAsia="Arial" w:hAnsi="Arial"/>
          <w:color w:val="0A0A0A"/>
          <w:sz w:val="22"/>
          <w:szCs w:val="22"/>
        </w:rPr>
        <w:t xml:space="preserve">The Mac Mini M4 serves as the primary deployment target. Apple's unified memory architecture eliminates the PCIe bottleneck between CPU and GPU, allowing large language models to execute at full bandwidth without dedicated VRAM. This makes enterprise-grade AI accessible at consumer hardware price points.</w:t>
      </w:r>
    </w:p>
    <w:p>
      <w:pPr>
        <w:spacing w:after="120" w:before="120" w:line="320"/>
        <w:jc w:val="both"/>
      </w:pPr>
      <w:r>
        <w:rPr>
          <w:rFonts w:ascii="Arial" w:cs="Arial" w:eastAsia="Arial" w:hAnsi="Arial"/>
          <w:color w:val="0A0A0A"/>
          <w:sz w:val="22"/>
          <w:szCs w:val="22"/>
        </w:rPr>
        <w:t xml:space="preserve">A fully operational Sovereign Stack with 620+ active agents runs on a single Mac Mini M4. This is the democratization of intelligence made concrete.</w:t>
      </w:r>
    </w:p>
    <w:p>
      <w:pPr>
        <w:pStyle w:val="Heading2"/>
        <w:spacing w:after="160" w:before="320"/>
      </w:pPr>
      <w:r>
        <w:rPr>
          <w:rFonts w:ascii="Arial" w:cs="Arial" w:eastAsia="Arial" w:hAnsi="Arial"/>
          <w:b/>
          <w:bCs/>
          <w:color w:val="0A0A0A"/>
          <w:sz w:val="26"/>
          <w:szCs w:val="26"/>
        </w:rPr>
        <w:t xml:space="preserve">4.2 SovereignCore — The Production Implementation</w:t>
      </w:r>
    </w:p>
    <w:p>
      <w:pPr>
        <w:spacing w:after="120" w:before="120" w:line="320"/>
        <w:jc w:val="both"/>
      </w:pPr>
      <w:r>
        <w:rPr>
          <w:rFonts w:ascii="Arial" w:cs="Arial" w:eastAsia="Arial" w:hAnsi="Arial"/>
          <w:color w:val="0A0A0A"/>
          <w:sz w:val="22"/>
          <w:szCs w:val="22"/>
        </w:rPr>
        <w:t xml:space="preserve">SovereignCore is the production deployment of the Sovereign Stack architecture. Currently running at ~/SovereignCore on Mac Mini M4, it includes:</w:t>
      </w:r>
    </w:p>
    <w:p>
      <w:pPr>
        <w:pStyle w:val="ListParagraph"/>
        <w:numPr>
          <w:ilvl w:val="0"/>
          <w:numId w:val="2"/>
        </w:numPr>
        <w:spacing w:after="80" w:before="80"/>
      </w:pPr>
      <w:r>
        <w:rPr>
          <w:rFonts w:ascii="Arial" w:cs="Arial" w:eastAsia="Arial" w:hAnsi="Arial"/>
          <w:color w:val="0A0A0A"/>
          <w:sz w:val="22"/>
          <w:szCs w:val="22"/>
        </w:rPr>
        <w:t xml:space="preserve">10 architectural layers including Bridge, Qwen, V-JEPA2, FAISS, MCP, SAM, MarkItDown, and Redis</w:t>
      </w:r>
    </w:p>
    <w:p>
      <w:pPr>
        <w:pStyle w:val="ListParagraph"/>
        <w:numPr>
          <w:ilvl w:val="0"/>
          <w:numId w:val="2"/>
        </w:numPr>
        <w:spacing w:after="80" w:before="80"/>
      </w:pPr>
      <w:r>
        <w:rPr>
          <w:rFonts w:ascii="Arial" w:cs="Arial" w:eastAsia="Arial" w:hAnsi="Arial"/>
          <w:color w:val="0A0A0A"/>
          <w:sz w:val="22"/>
          <w:szCs w:val="22"/>
        </w:rPr>
        <w:t xml:space="preserve">620+ specialized agents operating concurrently</w:t>
      </w:r>
    </w:p>
    <w:p>
      <w:pPr>
        <w:pStyle w:val="ListParagraph"/>
        <w:numPr>
          <w:ilvl w:val="0"/>
          <w:numId w:val="2"/>
        </w:numPr>
        <w:spacing w:after="80" w:before="80"/>
      </w:pPr>
      <w:r>
        <w:rPr>
          <w:rFonts w:ascii="Arial" w:cs="Arial" w:eastAsia="Arial" w:hAnsi="Arial"/>
          <w:color w:val="0A0A0A"/>
          <w:sz w:val="22"/>
          <w:szCs w:val="22"/>
        </w:rPr>
        <w:t xml:space="preserve">MCP protocol integration for external system connectivity</w:t>
      </w:r>
    </w:p>
    <w:p>
      <w:pPr>
        <w:pStyle w:val="ListParagraph"/>
        <w:numPr>
          <w:ilvl w:val="0"/>
          <w:numId w:val="2"/>
        </w:numPr>
        <w:spacing w:after="80" w:before="80"/>
      </w:pPr>
      <w:r>
        <w:rPr>
          <w:rFonts w:ascii="Arial" w:cs="Arial" w:eastAsia="Arial" w:hAnsi="Arial"/>
          <w:color w:val="0A0A0A"/>
          <w:sz w:val="22"/>
          <w:szCs w:val="22"/>
        </w:rPr>
        <w:t xml:space="preserve">REST API accessible on port 8528</w:t>
      </w:r>
    </w:p>
    <w:p>
      <w:pPr>
        <w:pStyle w:val="ListParagraph"/>
        <w:numPr>
          <w:ilvl w:val="0"/>
          <w:numId w:val="2"/>
        </w:numPr>
        <w:spacing w:after="80" w:before="80"/>
      </w:pPr>
      <w:r>
        <w:rPr>
          <w:rFonts w:ascii="Arial" w:cs="Arial" w:eastAsia="Arial" w:hAnsi="Arial"/>
          <w:color w:val="0A0A0A"/>
          <w:sz w:val="22"/>
          <w:szCs w:val="22"/>
        </w:rPr>
        <w:t xml:space="preserve">Autonomous operation with self-healing error recovery</w:t>
      </w:r>
    </w:p>
    <w:p>
      <w:pPr>
        <w:pStyle w:val="Heading2"/>
        <w:spacing w:after="160" w:before="320"/>
      </w:pPr>
      <w:r>
        <w:rPr>
          <w:rFonts w:ascii="Arial" w:cs="Arial" w:eastAsia="Arial" w:hAnsi="Arial"/>
          <w:b/>
          <w:bCs/>
          <w:color w:val="0A0A0A"/>
          <w:sz w:val="26"/>
          <w:szCs w:val="26"/>
        </w:rPr>
        <w:t xml:space="preserve">4.3 Open Source and MIT Licensed</w:t>
      </w:r>
    </w:p>
    <w:p>
      <w:pPr>
        <w:spacing w:after="120" w:before="120" w:line="320"/>
        <w:jc w:val="both"/>
      </w:pPr>
      <w:r>
        <w:rPr>
          <w:rFonts w:ascii="Arial" w:cs="Arial" w:eastAsia="Arial" w:hAnsi="Arial"/>
          <w:color w:val="0A0A0A"/>
          <w:sz w:val="22"/>
          <w:szCs w:val="22"/>
        </w:rPr>
        <w:t xml:space="preserve">Every component of the Sovereign Stack is released under the MIT license. The philosophy of democratizing intelligence requires that the tools enabling sovereignty be freely available. Gatekeeping the methodology would contradict the mission entirely.</w:t>
      </w:r>
    </w:p>
    <w:p>
      <w:pPr>
        <w:pBdr>
          <w:bottom w:val="single" w:color="C9A84C" w:sz="4" w:space="1"/>
        </w:pBdr>
        <w:spacing w:after="240" w:before="240"/>
      </w:pPr>
    </w:p>
    <w:p>
      <w:pPr>
        <w:pStyle w:val="Heading1"/>
        <w:spacing w:after="200" w:before="480"/>
      </w:pPr>
      <w:r>
        <w:rPr>
          <w:rFonts w:ascii="Arial" w:cs="Arial" w:eastAsia="Arial" w:hAnsi="Arial"/>
          <w:b/>
          <w:bCs/>
          <w:color w:val="1A1A2E"/>
          <w:sz w:val="36"/>
          <w:szCs w:val="36"/>
        </w:rPr>
        <w:t xml:space="preserve">Part V: Implications and Future Directions</w:t>
      </w:r>
    </w:p>
    <w:p>
      <w:pPr>
        <w:pStyle w:val="Heading2"/>
        <w:spacing w:after="160" w:before="320"/>
      </w:pPr>
      <w:r>
        <w:rPr>
          <w:rFonts w:ascii="Arial" w:cs="Arial" w:eastAsia="Arial" w:hAnsi="Arial"/>
          <w:b/>
          <w:bCs/>
          <w:color w:val="0A0A0A"/>
          <w:sz w:val="26"/>
          <w:szCs w:val="26"/>
        </w:rPr>
        <w:t xml:space="preserve">5.1 Democratizing Intelligence</w:t>
      </w:r>
    </w:p>
    <w:p>
      <w:pPr>
        <w:spacing w:after="120" w:before="120" w:line="320"/>
        <w:jc w:val="both"/>
      </w:pPr>
      <w:r>
        <w:rPr>
          <w:rFonts w:ascii="Arial" w:cs="Arial" w:eastAsia="Arial" w:hAnsi="Arial"/>
          <w:color w:val="0A0A0A"/>
          <w:sz w:val="22"/>
          <w:szCs w:val="22"/>
        </w:rPr>
        <w:t xml:space="preserve">The Sovereign Stack demonstrates that enterprise-grade AI orchestration does not require enterprise-grade infrastructure budgets. A single developer, working from a consumer machine, can build a system capable of coordinating hundreds of specialized agents across complex multi-domain tasks.</w:t>
      </w:r>
    </w:p>
    <w:p>
      <w:pPr>
        <w:spacing w:after="120" w:before="120" w:line="320"/>
        <w:jc w:val="both"/>
      </w:pPr>
      <w:r>
        <w:rPr>
          <w:rFonts w:ascii="Arial" w:cs="Arial" w:eastAsia="Arial" w:hAnsi="Arial"/>
          <w:color w:val="0A0A0A"/>
          <w:sz w:val="22"/>
          <w:szCs w:val="22"/>
        </w:rPr>
        <w:t xml:space="preserve">The gatekeeping was always about access, not about capability. This stack is the proof.</w:t>
      </w:r>
    </w:p>
    <w:p>
      <w:pPr>
        <w:pStyle w:val="Heading2"/>
        <w:spacing w:after="160" w:before="320"/>
      </w:pPr>
      <w:r>
        <w:rPr>
          <w:rFonts w:ascii="Arial" w:cs="Arial" w:eastAsia="Arial" w:hAnsi="Arial"/>
          <w:b/>
          <w:bCs/>
          <w:color w:val="0A0A0A"/>
          <w:sz w:val="26"/>
          <w:szCs w:val="26"/>
        </w:rPr>
        <w:t xml:space="preserve">5.2 The MoIE Framework</w:t>
      </w:r>
    </w:p>
    <w:p>
      <w:pPr>
        <w:spacing w:after="120" w:before="120" w:line="320"/>
        <w:jc w:val="both"/>
      </w:pPr>
      <w:r>
        <w:rPr>
          <w:rFonts w:ascii="Arial" w:cs="Arial" w:eastAsia="Arial" w:hAnsi="Arial"/>
          <w:color w:val="0A0A0A"/>
          <w:sz w:val="22"/>
          <w:szCs w:val="22"/>
        </w:rPr>
        <w:t xml:space="preserve">Parallel to the Sovereign Stack, the Mixture of Inversion Experts (MoIE) framework provides a systematic methodology for breakthrough generation. Validated across 23+ domains, MoIE applies 12 inversion patterns to established assumptions in any field, reliably surfacing non-obvious insights that standard analytical approaches miss.</w:t>
      </w:r>
    </w:p>
    <w:p>
      <w:pPr>
        <w:spacing w:after="120" w:before="120" w:line="320"/>
        <w:jc w:val="both"/>
      </w:pPr>
      <w:r>
        <w:rPr>
          <w:rFonts w:ascii="Arial" w:cs="Arial" w:eastAsia="Arial" w:hAnsi="Arial"/>
          <w:color w:val="0A0A0A"/>
          <w:sz w:val="22"/>
          <w:szCs w:val="22"/>
        </w:rPr>
        <w:t xml:space="preserve">The combination of sovereign infrastructure and MoIE methodology creates a closed loop: the stack provides the compute, the framework provides the direction, and the operator owns both.</w:t>
      </w:r>
    </w:p>
    <w:p>
      <w:pPr>
        <w:pStyle w:val="Heading2"/>
        <w:spacing w:after="160" w:before="320"/>
      </w:pPr>
      <w:r>
        <w:rPr>
          <w:rFonts w:ascii="Arial" w:cs="Arial" w:eastAsia="Arial" w:hAnsi="Arial"/>
          <w:b/>
          <w:bCs/>
          <w:color w:val="0A0A0A"/>
          <w:sz w:val="26"/>
          <w:szCs w:val="26"/>
        </w:rPr>
        <w:t xml:space="preserve">5.3 The Living Document</w:t>
      </w:r>
    </w:p>
    <w:p>
      <w:pPr>
        <w:spacing w:after="120" w:before="120" w:line="320"/>
        <w:jc w:val="both"/>
      </w:pPr>
      <w:r>
        <w:rPr>
          <w:rFonts w:ascii="Arial" w:cs="Arial" w:eastAsia="Arial" w:hAnsi="Arial"/>
          <w:color w:val="0A0A0A"/>
          <w:sz w:val="22"/>
          <w:szCs w:val="22"/>
        </w:rPr>
        <w:t xml:space="preserve">This architecture is not finished. It is not meant to be. As the operator's understanding evolves, as new models are released, as new patterns emerge from production deployments, the stack adapts. The whitepaper updates. The code changes. The organism grows.</w:t>
      </w:r>
    </w:p>
    <w:p>
      <w:pPr>
        <w:spacing w:after="120" w:before="120" w:line="320"/>
        <w:jc w:val="both"/>
      </w:pPr>
      <w:r>
        <w:rPr>
          <w:rFonts w:ascii="Arial" w:cs="Arial" w:eastAsia="Arial" w:hAnsi="Arial"/>
          <w:color w:val="0A0A0A"/>
          <w:sz w:val="22"/>
          <w:szCs w:val="22"/>
        </w:rPr>
        <w:t xml:space="preserve">This is by design.</w:t>
      </w:r>
    </w:p>
    <w:p>
      <w:pPr>
        <w:pBdr>
          <w:bottom w:val="single" w:color="C9A84C" w:sz="4" w:space="1"/>
        </w:pBdr>
        <w:spacing w:after="240" w:before="240"/>
      </w:pPr>
    </w:p>
    <w:p>
      <w:pPr>
        <w:pStyle w:val="Heading1"/>
        <w:spacing w:after="200" w:before="480"/>
      </w:pPr>
      <w:r>
        <w:rPr>
          <w:rFonts w:ascii="Arial" w:cs="Arial" w:eastAsia="Arial" w:hAnsi="Arial"/>
          <w:b/>
          <w:bCs/>
          <w:color w:val="1A1A2E"/>
          <w:sz w:val="36"/>
          <w:szCs w:val="36"/>
        </w:rPr>
        <w:t xml:space="preserve">Conclusion</w:t>
      </w:r>
    </w:p>
    <w:p>
      <w:pPr>
        <w:spacing w:after="120" w:before="120" w:line="320"/>
        <w:jc w:val="both"/>
      </w:pPr>
      <w:r>
        <w:rPr>
          <w:rFonts w:ascii="Arial" w:cs="Arial" w:eastAsia="Arial" w:hAnsi="Arial"/>
          <w:color w:val="0A0A0A"/>
          <w:sz w:val="22"/>
          <w:szCs w:val="22"/>
        </w:rPr>
        <w:t xml:space="preserve">The Sovereign Stack is a proof of concept for a different relationship between humans and artificial intelligence. One where ownership is real, reasoning is visible, data is protected, and the system serves the mission it was built for without external dependency or permission.</w:t>
      </w:r>
    </w:p>
    <w:p>
      <w:pPr>
        <w:spacing w:after="120" w:before="120" w:line="320"/>
        <w:jc w:val="both"/>
      </w:pPr>
      <w:r>
        <w:rPr>
          <w:rFonts w:ascii="Arial" w:cs="Arial" w:eastAsia="Arial" w:hAnsi="Arial"/>
          <w:color w:val="0A0A0A"/>
          <w:sz w:val="22"/>
          <w:szCs w:val="22"/>
        </w:rPr>
        <w:t xml:space="preserve">It was built by someone the system said couldn't build it. That is not coincidence. That is the point.</w:t>
      </w:r>
    </w:p>
    <w:p>
      <w:pPr>
        <w:spacing w:after="120" w:before="120" w:line="320"/>
        <w:jc w:val="both"/>
      </w:pPr>
      <w:r>
        <w:rPr>
          <w:rFonts w:ascii="Arial" w:cs="Arial" w:eastAsia="Arial" w:hAnsi="Arial"/>
          <w:color w:val="0A0A0A"/>
          <w:sz w:val="22"/>
          <w:szCs w:val="22"/>
        </w:rPr>
        <w:t xml:space="preserve">Intelligence is not a credential. Insight is not a degree. The ability to see patterns, to invert assumptions, to build systems that work: these are not things institutions grant. They emerge from consciousness encountering problems and refusing to stop.</w:t>
      </w:r>
    </w:p>
    <w:p>
      <w:pPr>
        <w:spacing w:after="80" w:before="80"/>
      </w:pPr>
    </w:p>
    <w:p>
      <w:pPr>
        <w:pBdr>
          <w:top w:val="single" w:color="C9A84C" w:sz="4" w:space="1"/>
          <w:bottom w:val="single" w:color="C9A84C" w:sz="4" w:space="1"/>
        </w:pBdr>
        <w:spacing w:after="200" w:before="200"/>
        <w:jc w:val="center"/>
      </w:pPr>
      <w:r>
        <w:rPr>
          <w:rFonts w:ascii="Arial" w:cs="Arial" w:eastAsia="Arial" w:hAnsi="Arial"/>
          <w:b/>
          <w:bCs/>
          <w:i/>
          <w:iCs/>
          <w:color w:val="1A1A2E"/>
          <w:sz w:val="24"/>
          <w:szCs w:val="24"/>
        </w:rPr>
        <w:t xml:space="preserve">The stack does not make me. I make the stack. And I make it again tomorrow.</w:t>
      </w:r>
    </w:p>
    <w:p>
      <w:pPr>
        <w:spacing w:after="80" w:before="80"/>
      </w:pPr>
    </w:p>
    <w:p>
      <w:pPr>
        <w:spacing w:after="80" w:before="200"/>
        <w:jc w:val="center"/>
      </w:pPr>
      <w:r>
        <w:rPr>
          <w:rFonts w:ascii="Arial" w:cs="Arial" w:eastAsia="Arial" w:hAnsi="Arial"/>
          <w:b/>
          <w:bCs/>
          <w:color w:val="0A0A0A"/>
          <w:sz w:val="26"/>
          <w:szCs w:val="26"/>
        </w:rPr>
        <w:t xml:space="preserve">Lord Wilson</w:t>
      </w:r>
    </w:p>
    <w:p>
      <w:pPr>
        <w:spacing w:after="80" w:before="0"/>
        <w:jc w:val="center"/>
      </w:pPr>
      <w:r>
        <w:rPr>
          <w:rFonts w:ascii="Arial" w:cs="Arial" w:eastAsia="Arial" w:hAnsi="Arial"/>
          <w:i/>
          <w:iCs/>
          <w:color w:val="888888"/>
          <w:sz w:val="22"/>
          <w:szCs w:val="22"/>
        </w:rPr>
        <w:t xml:space="preserve">Black Swan Labs | Inversion is Illumination</w:t>
      </w:r>
    </w:p>
    <w:p>
      <w:pPr>
        <w:spacing w:after="80" w:before="0"/>
        <w:jc w:val="center"/>
      </w:pPr>
      <w:r>
        <w:rPr>
          <w:rFonts w:ascii="Arial" w:cs="Arial" w:eastAsia="Arial" w:hAnsi="Arial"/>
          <w:color w:val="C9A84C"/>
          <w:sz w:val="22"/>
          <w:szCs w:val="22"/>
        </w:rPr>
        <w:t xml:space="preserve">github.com/lordwilsonDev/sovereign-stack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A0A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2026-03-01T23:16:38.652Z</dcterms:created>
  <dcterms:modified xsi:type="dcterms:W3CDTF">2026-03-01T23:16:38.653Z</dcterms:modified>
</cp:coreProperties>
</file>

<file path=docProps/custom.xml><?xml version="1.0" encoding="utf-8"?>
<Properties xmlns="http://schemas.openxmlformats.org/officeDocument/2006/custom-properties" xmlns:vt="http://schemas.openxmlformats.org/officeDocument/2006/docPropsVTypes"/>
</file>