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LIMKETKAI FOUNDATION: STRATEGIC IMPACT &amp; CURRENT INITIATIVES</w:t>
      </w:r>
    </w:p>
    <w:p w:rsidR="00000000" w:rsidDel="00000000" w:rsidP="00000000" w:rsidRDefault="00000000" w:rsidRPr="00000000" w14:paraId="00000002">
      <w:pPr>
        <w:spacing w:after="180" w:before="18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Honouring the Legacy of Don Lim Ket Kai &amp; Doña Rosario Lim Ket Kai through Action</w:t>
      </w:r>
    </w:p>
    <w:p w:rsidR="00000000" w:rsidDel="00000000" w:rsidP="00000000" w:rsidRDefault="00000000" w:rsidRPr="00000000" w14:paraId="00000003">
      <w:pPr>
        <w:spacing w:after="180" w:before="1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table outlines our active and planned initiatives, structured to reflect our strategic pillars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Empowering Youth, Extending Compassionate Care, and Building Accessible Futures.</w:t>
      </w:r>
    </w:p>
    <w:tbl>
      <w:tblPr>
        <w:tblStyle w:val="Table1"/>
        <w:tblW w:w="10620.0" w:type="dxa"/>
        <w:jc w:val="left"/>
        <w:tblInd w:w="-600.0" w:type="dxa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1845"/>
        <w:gridCol w:w="1860"/>
        <w:gridCol w:w="1755"/>
        <w:gridCol w:w="1635"/>
        <w:gridCol w:w="3525"/>
        <w:tblGridChange w:id="0">
          <w:tblGrid>
            <w:gridCol w:w="1845"/>
            <w:gridCol w:w="1860"/>
            <w:gridCol w:w="1755"/>
            <w:gridCol w:w="1635"/>
            <w:gridCol w:w="3525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STRATEGIC 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 /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SCALE / 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KEY DETAILS &amp;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EMPOWERING YOUTH &amp; 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DanceSport Grassroots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600+ students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public schools</w:t>
            </w:r>
          </w:p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30+ DepEd Teachers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trained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Active &amp; Expanding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Our Proven Blueprint in Action: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Training teachers and students in public schools to build character, discipline, and community. The model creates a "cascading system" of mentors.</w:t>
            </w:r>
          </w:p>
        </w:tc>
      </w:tr>
      <w:tr>
        <w:trPr>
          <w:cantSplit w:val="0"/>
          <w:trHeight w:val="18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DanceSport National Championship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2,000+ athletes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3,000+ spectators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(expected)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Upcoming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Uniting Mindanao &amp; 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Hosting the PSC &amp; PDSF 2nd Qtr National Championship—the first in Mindanao. Showcases regional talent on a national stage, fuelling pride and opportunity.</w:t>
            </w:r>
          </w:p>
        </w:tc>
      </w:tr>
      <w:tr>
        <w:trPr>
          <w:cantSplit w:val="0"/>
          <w:trHeight w:val="18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Grassroots Competition (Misamis Oriental)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 schools across the province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Planting Seeds for Champions: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 dedicated platform to discover raw talent. Top athletes will become pioneers in our scholarship &amp; sustained development program.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Youth Scholarships &amp; Teacher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Regional (DepEd Region X)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Ongoing Partnership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Scholarship with Substance: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Formal DepEd partnership via the Limketkai Foundation DanceSport Scholarship Program, creating academic and athletic pathways.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Angeles Sisters NHS Softball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DepEd-sanctioned team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Ongoing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Holistic Development: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Supporting teamwork and perseverance, proving lessons on the field translate to success in life.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School Supplies Provision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Community-based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Ongoing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(via partners like HAWID)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Foundational Support: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Providing durable bags and tools to ensure children begin their educational journey with dignity.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EXTENDING OUR CIRCLE OF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Animal Welfare - Dog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25 dogs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(capacity)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Compassion for All Beings: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Safe haven offering rescue,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spay/neuter, and vaccination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services in CDO, in partnership with CDO Animal Welfare Society Inc.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Animal Welfare - Cat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Ongoing rescue &amp; shelter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Compassion for All Beings: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Dedicated rescue and shelter facility located in Malaybalay, Bukidnon.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BUILDING ACCESSIBLE FUTURES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Community Technology &amp; Learning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youth &amp; adults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Planning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Bridging the Digital Divide: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 future space designed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Universal Design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principles to offer free digital literacy programs for solo parents, out-of-school youth, and more.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Public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all ages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Planning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 Sanctuary for Minds: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 future free, public sanctuary offering unrestricted access to books and quiet study, beginning with a community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book drive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72en3whlwm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The Story Behind the Data: Our Momentum in Motion</w:t>
      </w:r>
    </w:p>
    <w:p w:rsidR="00000000" w:rsidDel="00000000" w:rsidP="00000000" w:rsidRDefault="00000000" w:rsidRPr="00000000" w14:paraId="0000003E">
      <w:pPr>
        <w:spacing w:after="180" w:before="1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table is a snapshot of 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strategic compassion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action. It is brought to life by moments like the electrifying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Grassroots Christmas DanceSport Challenge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December 21, 2025, which united 632 athletes and over 2,000 spectators in the Limketkai Atrium. It is fueled by our unwavering belief, inherited from our founders,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true progress uplifts hearts and leaves no one behind.</w:t>
      </w:r>
    </w:p>
    <w:p w:rsidR="00000000" w:rsidDel="00000000" w:rsidP="00000000" w:rsidRDefault="00000000" w:rsidRPr="00000000" w14:paraId="0000003F">
      <w:pPr>
        <w:spacing w:after="180" w:before="1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are not just administering programs; we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nurturing a home where everyone belongs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—from the scholar and the athlete to the rescued animal and the lifelong learner.</w:t>
      </w:r>
    </w:p>
    <w:p w:rsidR="00000000" w:rsidDel="00000000" w:rsidP="00000000" w:rsidRDefault="00000000" w:rsidRPr="00000000" w14:paraId="00000040">
      <w:pPr>
        <w:spacing w:after="180" w:before="1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Your partnership is the catalyst.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Join us in writing the next chapter of this legacy. Together, we can train more teachers, shelter more animals, build the Library and Learning Hub, and empower a generation.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8720" w:w="12240" w:orient="portrait"/>
      <w:pgMar w:bottom="1440.0000000000002" w:top="1440.0000000000002" w:left="1440.0000000000002" w:right="1440.0000000000002" w:header="566.9291338582677" w:footer="566.929133858267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879674" cy="112977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79674" cy="11297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