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560"/>
              <w:left w:type="dxa" w:w="400"/>
              <w:bottom w:type="dxa" w:w="56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ICP Tool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color w:val="BDD0F0"/>
                <w:sz w:val="28"/>
                <w:szCs w:val="28"/>
              </w:rPr>
              <w:t xml:space="preserve">Manuale d'uso rapido</w:t>
            </w:r>
          </w:p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color w:val="D0E0FF"/>
                <w:sz w:val="20"/>
                <w:szCs w:val="20"/>
              </w:rPr>
              <w:t xml:space="preserve">CNR-ICCOM Pisa — Gestione analisi ICP-OES</w:t>
            </w:r>
          </w:p>
        </w:tc>
      </w:tr>
    </w:tbl>
    <w:p>
      <w:pPr>
        <w:spacing w:after="1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E8F0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Questo manuale spiega come usare ICP Tool in pochi minuti.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L'app funziona interamente nel browser, salva i dati in locale e genera PDF professionali.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Nessuna installazione richiesta: basta aprire il file icp-tool.html o visitare il sito.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1"/>
        <w:pBdr>
          <w:bottom w:val="single" w:color="1A387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3870"/>
          <w:sz w:val="28"/>
          <w:szCs w:val="28"/>
        </w:rPr>
        <w:t xml:space="preserve">1. Interfaccia principale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L'app è divisa in tre aree: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Sidebar</w:t>
            </w:r>
          </w:p>
        </w:tc>
        <w:tc>
          <w:tcPr>
            <w:tcW w:type="dxa" w:w="7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Colonna sinistra scura: elenco sessioni, pulsante "Nuova sessione", importa JSON. Ogni sessione mostra nome, data, stato (aperta/chiusa) e numero campioni. Icona cestino per eliminare.</w:t>
            </w:r>
          </w:p>
        </w:tc>
      </w:tr>
      <w:tr>
        <w:tc>
          <w:tcPr>
            <w:tcW w:type="dxa" w:w="1800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870"/>
                <w:sz w:val="20"/>
                <w:szCs w:val="20"/>
              </w:rPr>
              <w:t xml:space="preserve">Topbar</w:t>
            </w:r>
          </w:p>
        </w:tc>
        <w:tc>
          <w:tcPr>
            <w:tcW w:type="dxa" w:w="7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Barra in alto: nome sessione attiva, indicatore "Salvato", pulsante Esporta JSON, Chiudi sessione, toggle lingua ITA/ENG.</w:t>
            </w:r>
          </w:p>
        </w:tc>
      </w:tr>
      <w:tr>
        <w:tc>
          <w:tcPr>
            <w:tcW w:type="dxa" w:w="1800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 principale</w:t>
            </w:r>
          </w:p>
        </w:tc>
        <w:tc>
          <w:tcPr>
            <w:tcW w:type="dxa" w:w="7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Contenuto scorrevole: barra navigazione passi 1–5 e moduli di inserimento dati.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1"/>
        <w:pBdr>
          <w:bottom w:val="single" w:color="1A387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3870"/>
          <w:sz w:val="28"/>
          <w:szCs w:val="28"/>
        </w:rPr>
        <w:t xml:space="preserve">2. Gestione sessioni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Ogni sessione rappresenta un'analisi ICP completa (es: "Campioni Fe Giugno 2026"). I dati vengono salvati automaticamente nel browser.</w:t>
      </w:r>
    </w:p>
    <w:p>
      <w:pPr>
        <w:spacing w:after="8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Creare una sessione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Clicca "Nuova sessione" in cima alla sidebar.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Inserisci un nome descrittivo (es: "Campioni Cu Luglio 2026").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Clicca "Crea" — si apre direttamente il passo 1.</w:t>
      </w:r>
    </w:p>
    <w:p>
      <w:pPr>
        <w:spacing w:after="8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Aprire una sessione esistente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Clicca su qualsiasi sessione nella sidebar. La sessione si apre al passo 1.</w:t>
      </w:r>
    </w:p>
    <w:p>
      <w:pPr>
        <w:spacing w:after="8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Eliminare una sessione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Clicca sull'icona cestino 🗑 accanto al nome della sessione nella sidebar. Conferma nella finestra di dialogo.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59E0B" w:sz="1"/>
              <w:left w:val="single" w:color="F59E0B" w:sz="1"/>
              <w:bottom w:val="single" w:color="F59E0B" w:sz="1"/>
              <w:right w:val="single" w:color="F59E0B" w:sz="1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⚠  Attenzione: l'eliminazione è definitiva e non reversibile.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💡  Esporta sempre le sessioni importanti come JSON prima di eliminarle.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Esportare / Importare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Esporta: nella topbar, clicca "Esporta JSON" — scarica un file .json con tutti i dati della sessione.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Importa: in fondo alla sidebar, clicca "Importa sessione JSON" e seleziona un file esportato in precedenza.</w:t>
      </w:r>
    </w:p>
    <w:p>
      <w:pPr>
        <w:spacing w:after="8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Chiudere una sessione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Clicca "Chiudi sessione" nella topbar. La sessione viene contrassegnata come "chiusa" ma rimane nella sidebar e può essere riaperta in qualsiasi momento.</w:t>
      </w:r>
    </w:p>
    <w:p>
      <w:pPr>
        <w:spacing w:after="160" w:before="0"/>
      </w:pPr>
      <w:r>
        <w:t xml:space="preserve"/>
      </w:r>
    </w:p>
    <w:p>
      <w:pPr>
        <w:pStyle w:val="Heading1"/>
        <w:pBdr>
          <w:bottom w:val="single" w:color="1A387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3870"/>
          <w:sz w:val="28"/>
          <w:szCs w:val="28"/>
        </w:rPr>
        <w:t xml:space="preserve">3. Flusso di lavoro — i 5 passi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Una volta aperta una sessione, usa la barra di navigazione in cima per muoverti tra i passi.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5426"/>
      </w:tblGrid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870"/>
                <w:sz w:val="21"/>
                <w:szCs w:val="21"/>
              </w:rPr>
              <w:t xml:space="preserve">Parametri strumento</w:t>
            </w:r>
          </w:p>
        </w:tc>
        <w:tc>
          <w:tcPr>
            <w:tcW w:type="dxa" w:w="5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Range min/max ICP-OES (default 1–5 ppm)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870"/>
                <w:sz w:val="21"/>
                <w:szCs w:val="21"/>
              </w:rPr>
              <w:t xml:space="preserve">Standard di calibrazione</w:t>
            </w:r>
          </w:p>
        </w:tc>
        <w:tc>
          <w:tcPr>
            <w:tcW w:type="dxa" w:w="5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Preparazione standard monoelementali o multielementali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870"/>
                <w:sz w:val="21"/>
                <w:szCs w:val="21"/>
              </w:rPr>
              <w:t xml:space="preserve">Campioni</w:t>
            </w:r>
          </w:p>
        </w:tc>
        <w:tc>
          <w:tcPr>
            <w:tcW w:type="dxa" w:w="5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Peso, elementi, calcolo volume finale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870"/>
                <w:sz w:val="21"/>
                <w:szCs w:val="21"/>
              </w:rPr>
              <w:t xml:space="preserve">Letture ICP</w:t>
            </w:r>
          </w:p>
        </w:tc>
        <w:tc>
          <w:tcPr>
            <w:tcW w:type="dxa" w:w="5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Inserimento valori letti dallo strumento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870"/>
                <w:sz w:val="21"/>
                <w:szCs w:val="21"/>
              </w:rPr>
              <w:t xml:space="preserve">Risultati</w:t>
            </w:r>
          </w:p>
        </w:tc>
        <w:tc>
          <w:tcPr>
            <w:tcW w:type="dxa" w:w="5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% in peso calcolata + generazione PDF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80" w:before="260"/>
      </w:pPr>
      <w:r>
        <w:rPr>
          <w:rFonts w:ascii="Arial" w:cs="Arial" w:eastAsia="Arial" w:hAnsi="Arial"/>
          <w:b/>
          <w:bCs/>
          <w:color w:val="1A3870"/>
          <w:sz w:val="22"/>
          <w:szCs w:val="22"/>
        </w:rPr>
        <w:t xml:space="preserve">Passo 1 — Parametri strumento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Definisci il range di lettura dello strumento ICP-OES.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Parametro</w:t>
            </w:r>
          </w:p>
        </w:tc>
        <w:tc>
          <w:tcPr>
            <w:tcW w:type="dxa" w:w="6026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Range ICP min (ppm)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Valore minimo affidabile dello strumento (default: 1 ppm)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Range ICP max (ppm)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Valore massimo affidabile dello strumento (default: 5 ppm)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2C55E" w:sz="1"/>
              <w:left w:val="single" w:color="22C55E" w:sz="1"/>
              <w:bottom w:val="single" w:color="22C55E" w:sz="1"/>
              <w:right w:val="single" w:color="22C55E" w:sz="1"/>
            </w:tcBorders>
            <w:shd w:fill="F0FD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💡  Questi valori sono usati dal sistema per suggerire automaticamente il matraccio giusto nel passo 3,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     in modo che la concentrazione stimata cada nel range 1–5 ppm.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2"/>
        <w:spacing w:after="80" w:before="260"/>
      </w:pPr>
      <w:r>
        <w:rPr>
          <w:rFonts w:ascii="Arial" w:cs="Arial" w:eastAsia="Arial" w:hAnsi="Arial"/>
          <w:b/>
          <w:bCs/>
          <w:color w:val="1A3870"/>
          <w:sz w:val="22"/>
          <w:szCs w:val="22"/>
        </w:rPr>
        <w:t xml:space="preserve">Passo 2 — Standard di calibrazione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Rispondi alla domanda "Hai bisogno di preparare gli standard elementali?". Se sì, configura gli standard; se no, passa direttamente al passo 3.</w:t>
      </w:r>
    </w:p>
    <w:p>
      <w:pPr>
        <w:spacing w:after="8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Monoelementale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Un solo elemento per standard.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Inserisci: nome elemento (dropdown ICP), concentrazione stock commerciale (ppm).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Aggiungi i livelli di concentrazione desiderati (default: 1, 2, 5 ppm).</w:t>
      </w:r>
    </w:p>
    <w:p>
      <w:pPr>
        <w:spacing w:after="8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Multielementale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Più elementi nello stesso standard.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Ogni elemento ha il proprio stock commerciale (ppm) — possono essere diversi tra loro.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Tutti gli elementi vengono portati agli stessi livelli di concentrazione.</w:t>
      </w:r>
    </w:p>
    <w:p>
      <w:pPr>
        <w:spacing w:after="8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Tabella preparazione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Il sistema calcola automaticamente le aliquote da prelevare da ogni stock per ottenere la concentrazione target in un matraccio fisso da 50 mL (volume di laboratorio standard).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E8F0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Formula: Aliquota (mL) = (C_target × 50 mL) / C_stock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Se il volume risultante è &lt; 1 mL viene espresso in µL per facilità operativa.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Clicca "Genera PDF standard" per stampare le istruzioni da portare al banco.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80" w:before="260"/>
      </w:pPr>
      <w:r>
        <w:rPr>
          <w:rFonts w:ascii="Arial" w:cs="Arial" w:eastAsia="Arial" w:hAnsi="Arial"/>
          <w:b/>
          <w:bCs/>
          <w:color w:val="1A3870"/>
          <w:sz w:val="22"/>
          <w:szCs w:val="22"/>
        </w:rPr>
        <w:t xml:space="preserve">Passo 3 — Campioni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Aggiungi tutti i campioni da analizzare cliccando "Aggiungi campione".</w:t>
      </w:r>
    </w:p>
    <w:p>
      <w:pPr>
        <w:spacing w:after="8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Tipo campione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🧪  Polvere / Solido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Inserisci peso (g). Per ogni elemento indica la % teorica. Il sistema calcola il matraccio ottimale e il risultato finale è espresso in % in peso.</w:t>
            </w:r>
          </w:p>
        </w:tc>
      </w:tr>
      <w:tr>
        <w:tc>
          <w:tcPr>
            <w:tcW w:type="dxa" w:w="2400"/>
            <w:tcBorders>
              <w:top w:val="single" w:color="93C5FD" w:sz="1"/>
              <w:left w:val="single" w:color="93C5FD" w:sz="1"/>
              <w:bottom w:val="single" w:color="93C5FD" w:sz="1"/>
              <w:right w:val="single" w:color="93C5FD" w:sz="1"/>
            </w:tcBorders>
            <w:shd w:fill="E0F2F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75985"/>
                <w:sz w:val="20"/>
                <w:szCs w:val="20"/>
              </w:rPr>
              <w:t xml:space="preserve">💧  Già in soluzione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Inserisci volume della soluzione (mL). Per ogni elemento indica la concentrazione teorica (ppm). Il risultato finale è espresso in ppm rilevati.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Calcolo automatico del matraccio (campioni solidi)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Appena inserisci peso e % teorica, compare una casella colorata: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Verde ✓ — concentrazione stimata nel range ICP. Mostra il matraccio consigliato e la C stimata.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Giallo ⚠ — necessaria diluizione. Il sistema indica: (1) portare a 1000 mL, (2) prelevare X mL e portare a Y mL. I volumi sono modificabili.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E8F0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Formula (senza diluizione): C (ppm) = (% / 100 × peso_g × 1000) / V_matraccio_mL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Formula (con diluizione):   C_finale = C_madre × V_aliquota / V_matraccio_diluizione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Elementi ICP disponibili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Il dropdown include 70 elementi analizzabili per ICP-OES:</w:t>
      </w:r>
    </w:p>
    <w:p>
      <w:pPr>
        <w:spacing w:after="80" w:before="6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Ag, Al, As, Au, B, Ba, Be, Bi, Ca, Cd, Ce, Co, Cr, Cs, Cu, Dy, Er, Eu, Fe, Ga, Gd, Ge, Hf, Hg, Ho, In, Ir, K, La, Li, Lu, Mg, Mn, Mo, Na, Nb, Nd, Ni, Os, P, Pb, Pd, Pr, Pt, Rb, Re, Rh, Ru, S, Sb, Sc, Se, Si, Sm, Sn, Sr, Ta, Tb, Te, Ti, Tl, Tm, U, V, W, Y, Yb, Zn, Zr</w:t>
      </w:r>
    </w:p>
    <w:p>
      <w:pPr>
        <w:spacing w:after="80" w:before="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Clicca "Genera PDF preparazione campioni" per stampare le istruzioni operative.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80" w:before="260"/>
      </w:pPr>
      <w:r>
        <w:rPr>
          <w:rFonts w:ascii="Arial" w:cs="Arial" w:eastAsia="Arial" w:hAnsi="Arial"/>
          <w:b/>
          <w:bCs/>
          <w:color w:val="1A3870"/>
          <w:sz w:val="22"/>
          <w:szCs w:val="22"/>
        </w:rPr>
        <w:t xml:space="preserve">Passo 4 — Letture ICP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Inserisci i valori in ppm letti direttamente dallo strumento per ogni elemento di ogni campione. Il campo mostra anche il matraccio usato come riferimento.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2C55E" w:sz="1"/>
              <w:left w:val="single" w:color="22C55E" w:sz="1"/>
              <w:bottom w:val="single" w:color="22C55E" w:sz="1"/>
              <w:right w:val="single" w:color="22C55E" w:sz="1"/>
            </w:tcBorders>
            <w:shd w:fill="F0FD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💡  Salvataggio automatico: ogni modifica viene salvata istantaneamente. Puoi chiudere il browser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     e riaprire la sessione in qualsiasi momento senza perdere i dati.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80" w:before="260"/>
      </w:pPr>
      <w:r>
        <w:rPr>
          <w:rFonts w:ascii="Arial" w:cs="Arial" w:eastAsia="Arial" w:hAnsi="Arial"/>
          <w:b/>
          <w:bCs/>
          <w:color w:val="1A3870"/>
          <w:sz w:val="22"/>
          <w:szCs w:val="22"/>
        </w:rPr>
        <w:t xml:space="preserve">Passo 5 — Risultati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Il sistema calcola automaticamente il risultato per ogni elemento: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 campione</w:t>
            </w:r>
          </w:p>
        </w:tc>
        <w:tc>
          <w:tcPr>
            <w:tcW w:type="dxa" w:w="6026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Formula applicata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Campione solido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% in peso = (lettura_ppm × V_matraccio_mL) / (peso_g × 1000) × 100
Fattore di diluizione incluso automaticamente se applicato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Campione in soluzione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Concentrazione rilevata (ppm) = lettura × fattore di diluizione (se applicato)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Generazione PDF Risultati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Clicca "Genera PDF Risultati".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Scegli la lingua: Italiano o English.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Il PDF viene scaricato automaticamente.</w:t>
      </w:r>
    </w:p>
    <w:p>
      <w:pPr>
        <w:spacing w:after="80" w:before="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Il report include: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Intestazione CNR-ICCOM con logo, nome sessione e data.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Riquadro riepilogativo (numero campioni, elementi, range ICP).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Tabella completa: campione, peso, elemento, lettura, matraccio, % in peso.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Nota metodologica e riga firma operatore/responsabile.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Numero di pagina e footer istituzionale su ogni pagina.</w:t>
      </w:r>
    </w:p>
    <w:p>
      <w:pPr>
        <w:spacing w:after="160" w:before="0"/>
      </w:pPr>
      <w:r>
        <w:t xml:space="preserve"/>
      </w:r>
    </w:p>
    <w:p>
      <w:pPr>
        <w:pStyle w:val="Heading1"/>
        <w:pBdr>
          <w:bottom w:val="single" w:color="1A387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3870"/>
          <w:sz w:val="28"/>
          <w:szCs w:val="28"/>
        </w:rPr>
        <w:t xml:space="preserve">4. Riepilogo PDF generabili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026"/>
      </w:tblGrid>
      <w:tr>
        <w:tc>
          <w:tcPr>
            <w:tcW w:type="dxa" w:w="2200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PDF</w:t>
            </w:r>
          </w:p>
        </w:tc>
        <w:tc>
          <w:tcPr>
            <w:tcW w:type="dxa" w:w="1800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Disponibile in</w:t>
            </w:r>
          </w:p>
        </w:tc>
        <w:tc>
          <w:tcPr>
            <w:tcW w:type="dxa" w:w="5026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Preparazione campioni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Passo 3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Istruzioni operative per attacco, diluizioni, matracci consigliati per elemento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Standard di calibrazione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Passo 2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Tabella aliquote per ogni livello e procedura di preparazione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Risultati analisi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Passo 5 (con scelta lingua)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Report professionale con % in peso / concentrazioni, metodologia, firme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1"/>
        <w:pBdr>
          <w:bottom w:val="single" w:color="1A387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3870"/>
          <w:sz w:val="28"/>
          <w:szCs w:val="28"/>
        </w:rPr>
        <w:t xml:space="preserve">5. Note tecniche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Archiviazione dati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I dati sono salvati nel localStorage del browser. Non vengono inviati a server esterni. Usa "Esporta JSON" per backup o trasferimento tra dispositivi o browser.</w:t>
      </w:r>
    </w:p>
    <w:p>
      <w:pPr>
        <w:spacing w:after="8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Compatibilità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Versione file (icp-tool.html): funziona offline, apri con doppio click. Dati salvati nel browser locale.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Versione web (GitHub Pages): disponibile online con cache offline attiva (Service Worker). Prima apertura richiede connessione internet per caricare le librerie PDF.</w:t>
      </w:r>
    </w:p>
    <w:p>
      <w:pPr>
        <w:spacing w:after="8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Aggiornamenti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Quando viene rilasciata una nuova versione, il Service Worker aggiorna automaticamente la cache. Se i dati sembrano non aggiornati, svuota la cache del browser (Ctrl+Shift+R).</w:t>
      </w:r>
    </w:p>
    <w:p>
      <w:pPr>
        <w:spacing w:after="1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E8F0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Per assistenza o segnalazioni: Lorenzo Birindelli — CNR-ICCOM Pisa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Repo GitHub: github.com/lorebiri/icp-tool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spacing w:before="60"/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CNR-ICCOM Pisa — Sviluppato da Lorenzo Birindelli   |   Pag.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870" w:sz="6" w:space="4"/>
      </w:pBdr>
      <w:spacing w:after="0"/>
      <w:jc w:val="right"/>
    </w:pPr>
    <w:r>
      <w:rPr>
        <w:rFonts w:ascii="Arial" w:cs="Arial" w:eastAsia="Arial" w:hAnsi="Arial"/>
        <w:b/>
        <w:bCs/>
        <w:color w:val="1A3870"/>
        <w:sz w:val="18"/>
        <w:szCs w:val="18"/>
      </w:rPr>
      <w:t xml:space="preserve">ICP Tool </w:t>
    </w:r>
    <w:r>
      <w:rPr>
        <w:rFonts w:ascii="Arial" w:cs="Arial" w:eastAsia="Arial" w:hAnsi="Arial"/>
        <w:color w:val="666666"/>
        <w:sz w:val="18"/>
        <w:szCs w:val="18"/>
      </w:rPr>
      <w:t xml:space="preserve">— Manuale d'uso rapido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387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60"/>
      <w:outlineLvl w:val="1"/>
    </w:pPr>
    <w:rPr>
      <w:rFonts w:ascii="Arial" w:cs="Arial" w:eastAsia="Arial" w:hAnsi="Arial"/>
      <w:b/>
      <w:bCs/>
      <w:color w:val="1A387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2026-06-04T14:25:54.857Z</dcterms:created>
  <dcterms:modified xsi:type="dcterms:W3CDTF">2026-06-04T14:25:54.858Z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