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ICP Tool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0F0"/>
                <w:sz w:val="28"/>
                <w:szCs w:val="28"/>
              </w:rPr>
              <w:t xml:space="preserve">Manuale d'uso rapido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D0E0FF"/>
                <w:sz w:val="20"/>
                <w:szCs w:val="20"/>
              </w:rPr>
              <w:t xml:space="preserve">CNR-ICCOM Pisa — Gestione analisi ICP-OES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Questo manuale spiega come usare ICP Tool in pochi minuti.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L'app funziona nel browser, salva i dati in locale e genera PDF professionali.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Nessuna installazione: basta aprire icp-tool.html o visitare il sito GitHub Pages.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1. Interfaccia principale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L'app è divisa in tre aree: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Colonna sinistra scura: elenco sessioni, "Nuova sessione", importa JSON. Ogni sessione mostra nome, data, stato e contatore campioni. Icona cestino per eliminare. Pulsante sigla operatore in fondo.</w:t>
            </w:r>
          </w:p>
        </w:tc>
      </w:tr>
      <w:tr>
        <w:tc>
          <w:tcPr>
            <w:tcW w:type="dxa" w:w="18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870"/>
                <w:sz w:val="20"/>
                <w:szCs w:val="20"/>
              </w:rPr>
              <w:t xml:space="preserve">Topbar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Barra in alto: nome sessione attiva, indicatore "Salvato", Esporta JSON, Chiudi sessione, toggle lingua ITA/ENG.</w:t>
            </w:r>
          </w:p>
        </w:tc>
      </w:tr>
      <w:tr>
        <w:tc>
          <w:tcPr>
            <w:tcW w:type="dxa" w:w="18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principale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Contenuto scorrevole: barra navigazione passi 1-5 e moduli di inserimento dati.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2. Sigla operatore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 primo avvio l'app chiede automaticamente di impostare una sigla personale (2-4 lettere). Questa sigla viene inclusa nell'ID di ogni campione e distingue i campioni preparati da operatori diversi su PC diversi, evitando duplicati.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Esempio: Lorenzo Birindelli imposta "LB" → i suoi campioni avranno ID ICP-2026-LB-0001, ICP-2026-LB-0002...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 Rossi su un altro PC imposta "MR" → ICP-2026-MR-0001, ICP-2026-MR-0002...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Nessun conflitto possibile tra i due laboratoristi.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Impostare o modificare la sigla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Al primo avvio: compare automaticamente il prompt con anteprima live dell'ID risultante.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In seguito: clicca il pulsante "Operatore: XX" in fondo alla sidebar per modificarla.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La sigla viene memorizzata nel browser — non serve reimpostarla ad ogni sessione.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3. Gestione sessioni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Ogni sessione rappresenta un'analisi ICP completa. I dati vengono salvati automaticamente.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Creare una sessione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Clicca "Nuova sessione" in cima alla sidebar.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Inserisci un nome descrittivo (es: "Campioni Cu Luglio 2026").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Clicca "Crea" — si apre direttamente il passo 1.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Eliminare una sessione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Clicca l'icona cestino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🗑</w:t>
      </w:r>
      <w:r>
        <w:rPr>
          <w:rFonts w:ascii="Arial" w:cs="Arial" w:eastAsia="Arial" w:hAnsi="Arial"/>
          <w:sz w:val="20"/>
          <w:szCs w:val="20"/>
        </w:rPr>
        <w:t xml:space="preserve"> accanto al nome nella sidebar. Conferma nella finestra di dialogo.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Attenzione: eliminazione definitiva. Esporta sempre le sessioni importanti come JSON prima di eliminarle.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Esportare / Importare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Esporta: topbar → "Esporta JSON" — salva tutto in un file .json.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Importa: sidebar in basso → "Importa sessione JSON" — ricarica un file esportato.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4. Flusso di lavoro — i 5 passi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Usa la barra in cima per navigare tra i passi.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870"/>
                <w:sz w:val="21"/>
                <w:szCs w:val="21"/>
              </w:rPr>
              <w:t xml:space="preserve">Parametri strumento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min/max ICP-OES (default 1-5 ppm)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870"/>
                <w:sz w:val="21"/>
                <w:szCs w:val="21"/>
              </w:rPr>
              <w:t xml:space="preserve">Standard di calibrazione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Preparazione standard monoelementali o multielementali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870"/>
                <w:sz w:val="21"/>
                <w:szCs w:val="21"/>
              </w:rPr>
              <w:t xml:space="preserve">Campioni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Peso/volume, elementi, calcolo matraccio, ID e etichette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870"/>
                <w:sz w:val="21"/>
                <w:szCs w:val="21"/>
              </w:rPr>
              <w:t xml:space="preserve">Letture ICP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Inserimento valori letti dallo strumento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870"/>
                <w:sz w:val="21"/>
                <w:szCs w:val="21"/>
              </w:rPr>
              <w:t xml:space="preserve">Risultati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in peso o ppm rilevati + PDF report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870"/>
          <w:sz w:val="22"/>
          <w:szCs w:val="22"/>
        </w:rPr>
        <w:t xml:space="preserve">Passo 1 — Parametri strumento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Definisci il range di lettura ICP-OES. Usato per il calcolo del matraccio nei campioni.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6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ICP min (ppm)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 minimo affidabile (default: 1 ppm)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ICP max (ppm)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 massimo affidabile (default: 5 ppm)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870"/>
          <w:sz w:val="22"/>
          <w:szCs w:val="22"/>
        </w:rPr>
        <w:t xml:space="preserve">Passo 2 — Standard di calibrazione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"Hai bisogno di preparare gli standard elementali?" — Se sì, configura tipo, elementi e livelli.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Monoelementale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elemento per standard. Un dropdown + stock (ppm).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Multielementale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Piu elementi. Ogni elemento ha il proprio stock commerciale.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finale fisso: 50 mL (matraccio standard di laboratorio).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Formula: Aliquota (mL) = (C_target x 50) / C_stock. Se &lt; 1 mL viene espresso in µL.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Etichette standard (nel PDF di preparazione)</w:t>
      </w:r>
    </w:p>
    <w:p>
      <w:p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Il PDF standard include, dopo la procedura, due set di etichette pronte da ritagliare per ogni Falcon da 50 mL: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Etichetta rettangolare 45x25 mm per il corpo della provetta: livello (Std1, Std2…), concentrazione target, data, tipo (mono/multielementale), elementi e volume finale (50 mL).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Etichetta tonda Ø 28 mm per il tappo: livello, concentrazione, elemento (se monoelementale), data e sigla del laboratorio.</w:t>
      </w:r>
    </w:p>
    <w:p>
      <w:p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Entrambe hanno bordo tratteggiato di ritaglio e si dispongono automaticamente nella stessa pagina della procedura, oppure su una nuova pagina se lo spazio non basta.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Clicca "Genera PDF standard" per stampare le istruzioni di preparazione e le etichette.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870"/>
          <w:sz w:val="22"/>
          <w:szCs w:val="22"/>
        </w:rPr>
        <w:t xml:space="preserve">Passo 3 — Campioni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Aggiungi i campioni. Ogni campione riceve automaticamente un ID univoco alla creazione.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 campione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Formato: </w:t>
      </w:r>
      <w:r>
        <w:rPr>
          <w:rFonts w:ascii="Courier New" w:cs="Courier New" w:eastAsia="Courier New" w:hAnsi="Courier New"/>
          <w:b/>
          <w:bCs/>
          <w:color w:val="1A3870"/>
          <w:sz w:val="20"/>
          <w:szCs w:val="20"/>
        </w:rPr>
        <w:t xml:space="preserve">ICP-ANNO-SIGLA-NNNN</w:t>
      </w:r>
      <w:r>
        <w:rPr>
          <w:rFonts w:ascii="Arial" w:cs="Arial" w:eastAsia="Arial" w:hAnsi="Arial"/>
          <w:sz w:val="20"/>
          <w:szCs w:val="20"/>
        </w:rPr>
        <w:t xml:space="preserve">   es: ICP-2026-LB-0042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L'ID compare nell'header del campione (badge blu) e sulle etichette del PDF di preparazione.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Tipo campione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Polvere / Solido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Inserisci peso (g) e % teorica per elemento. Risultato finale: % in peso.</w:t>
            </w:r>
          </w:p>
        </w:tc>
      </w:tr>
      <w:tr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Gia in soluzione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Inserisci volume soluzione (mL) e C teorica (ppm) per elemento. Risultato finale: ppm rilevati.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Calcolo matraccio automatico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Verde: concentrazione stimata nel range ICP. Matraccio consigliato mostrato direttamente.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Giallo: necessaria diluizione. Il sistema suggerisce le due fasi (1000 mL + riduzione). Volumi modificabili.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 (solido, senza dil.): C (ppm) = (% / 100 x peso_g x 1000) / V_matraccio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 (solido, con dil.): C_finale = C_madre x V_aliquota / V_matraccio_dil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Etichette campioni (nel PDF preparazione)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PDF di preparazione include una pagina finale con le etichette pronte da ritagliare: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Formato 45x25 mm — compatibile con matracci 25 mL e Falcon 50 mL.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Layout 4x10 per foglio A4 (max 40 etichette). Se i campioni sono pochi, le etichette appaiono nella stessa pagina delle istruzioni.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Bordo tratteggiato per il ritaglio. Contenuto: ID, sigla operatore, data, nome campione, elementi, peso/volume.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Stampare su fogli etichette 45x25 mm (es. Avery 3651 o compatibile).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Clicca "Genera PDF preparazione campioni" per stampare istruzioni + etichette.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870"/>
          <w:sz w:val="22"/>
          <w:szCs w:val="22"/>
        </w:rPr>
        <w:t xml:space="preserve">Passo 4 — Letture ICP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Inserisci i valori in ppm letti dallo strumento per ogni elemento. Il campo mostra il matraccio usato come riferimento.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Salvataggio automatico: ogni modifica viene salvata istantaneamente nel browser.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870"/>
          <w:sz w:val="22"/>
          <w:szCs w:val="22"/>
        </w:rPr>
        <w:t xml:space="preserve">Passo 5 — Risultati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sistema calcola automaticamente il risultato per ogni elemento: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Campione solido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in peso = (lettura_ppm x V_matraccio) / (peso_g x 1000) x 100. Fattore diluizione incluso.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Campione in soluzione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rilevata (ppm) = lettura x fattore diluizione (se applicato).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Generare il PDF Risultati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Clicca "Genera PDF Risultati".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Scegli la lingua: Italiano o English.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Il PDF include: intestazione CNR-ICCOM, riepilogo, tabella risultati, nota metodologica, riga firma.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5. Riepilogo PDF generabili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generabile</w:t>
            </w:r>
          </w:p>
        </w:tc>
        <w:tc>
          <w:tcPr>
            <w:tcW w:type="dxa" w:w="6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1A38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Preparazione campioni (Passo 3)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Istruzioni matracci/diluizioni + etichette 45x25 mm con tratteggio ritaglio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calibrazione (Passo 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Tabella aliquote per livello + procedura + etichette 45x25 mm (provetta) e Ø28 mm (tappo)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Risultati analisi (Passo 5, ITA/ENG)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professionale: % in peso o ppm, metodologia, riga firme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6. Note tecniche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Archiviazione dati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Dati nel localStorage del browser — nessun server esterno. La sigla operatore e il contatore ID sono salvati separatamente dalle sessioni e persistono tra sessioni diverse. Usa "Esporta JSON" per backup.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 campioni — unicita garantita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contatore e separato per operatore e per anno (chiave: icp_counter_2026_LB). Due laboratoristi sullo stesso strumento non genereranno mai lo stesso ID, purche abbiano sigle diverse.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Compatibilita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File locale (icp-tool.html): offline, doppio click. Dati nel browser locale.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Web (GitHub Pages): online con cache offline (Service Worker). Prima apertura richiede connessione.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870" w:sz="1"/>
              <w:left w:val="single" w:color="1A3870" w:sz="1"/>
              <w:bottom w:val="single" w:color="1A3870" w:sz="1"/>
              <w:right w:val="single" w:color="1A3870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 assistenza: Lorenzo Birindelli — CNR-ICCOM Pisa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Repo: github.com/lorebiri/icp-tool</w:t>
            </w:r>
          </w:p>
        </w:tc>
      </w:tr>
    </w:tbl>
    <w:p>
      <w:pPr>
        <w:pStyle w:val="Heading1"/>
        <w:pBdr>
          <w:bottom w:val="single" w:color="1A387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870"/>
          <w:sz w:val="28"/>
          <w:szCs w:val="28"/>
        </w:rPr>
        <w:t xml:space="preserve">7. Archivio standard</w:t>
      </w:r>
    </w:p>
    <w:p>
      <w:pPr>
        <w:spacing w:after="60" w:before="120"/>
      </w:pPr>
      <w:r>
        <w:rPr>
          <w:rFonts w:ascii="Arial" w:cs="Arial" w:eastAsia="Arial" w:hAnsi="Arial"/>
          <w:sz w:val="20"/>
          <w:szCs w:val="20"/>
        </w:rPr>
        <w:t xml:space="preserve">Una sezione globale, accessibile dalla sidebar con il pulsante "Archivio standard", che raccoglie tutti gli standard di calibrazione già preparati e disponibili in laboratorio — indipendentemente dalla sessione in cui sono stati creati.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Salvataggio automatico: ogni volta che generi il PDF di preparazione standard (Passo 2), lo standard configurato viene registrato automaticamente nell’archivio con data, tipo, elementi, livelli e sessione di provenienza.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Aggiunta manuale: con il pulsante "+ Aggiungi standard" puoi registrare uno standard già pronto (data, tipo mono/multielementale, elementi con stock, livelli in ppm e note libere) senza doverlo rigenerare dall’app.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Ogni scheda mostra elementi, tipo, provenienza (sessione o manuale), data di preparazione, volume finale e livelli di concentrazione disponibili. Un campo di ricerca permette di filtrare per elemento (es. "Fe") per trovare subito uno standard già pronto.</w:t>
      </w:r>
    </w:p>
    <w:p>
      <w:pPr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Ogni voce può essere eliminata singolarmente con conferma. L’archivio è salvato in locale (localStorage) ed è quindi specifico per ogni computer/browser su cui usi l’app.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6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CNR-ICCOM Pisa — Sviluppato da Lorenzo Birindelli   |  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870" w:sz="6" w:space="4"/>
      </w:pBdr>
      <w:spacing w:after="0"/>
      <w:jc w:val="right"/>
    </w:pPr>
    <w:r>
      <w:rPr>
        <w:rFonts w:ascii="Arial" w:cs="Arial" w:eastAsia="Arial" w:hAnsi="Arial"/>
        <w:b/>
        <w:bCs/>
        <w:color w:val="1A3870"/>
        <w:sz w:val="18"/>
        <w:szCs w:val="18"/>
      </w:rPr>
      <w:t xml:space="preserve">ICP Tool </w:t>
    </w:r>
    <w:r>
      <w:rPr>
        <w:rFonts w:ascii="Arial" w:cs="Arial" w:eastAsia="Arial" w:hAnsi="Arial"/>
        <w:color w:val="666666"/>
        <w:sz w:val="18"/>
        <w:szCs w:val="18"/>
      </w:rPr>
      <w:t xml:space="preserve">— Manuale d'uso rapido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87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A38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2026-06-05T21:49:33.629Z</dcterms:created>
  <dcterms:modified xsi:type="dcterms:W3CDTF">2026-06-05T21:49:33.629Z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