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1A3870" w:val="clear"/>
            <w:tcMar>
              <w:top w:type="dxa" w:w="560"/>
              <w:left w:type="dxa" w:w="400"/>
              <w:bottom w:type="dxa" w:w="560"/>
              <w:right w:type="dxa" w:w="4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ICP Tool</w:t>
            </w:r>
          </w:p>
          <w:p>
            <w:pPr>
              <w:spacing w:before="80"/>
              <w:jc w:val="center"/>
            </w:pPr>
            <w:r>
              <w:rPr>
                <w:rFonts w:ascii="Arial" w:cs="Arial" w:eastAsia="Arial" w:hAnsi="Arial"/>
                <w:color w:val="BDD0F0"/>
                <w:sz w:val="28"/>
                <w:szCs w:val="28"/>
              </w:rPr>
              <w:t xml:space="preserve">Manuale d'uso rapido</w:t>
            </w:r>
          </w:p>
          <w:p>
            <w:pPr>
              <w:spacing w:before="120"/>
              <w:jc w:val="center"/>
            </w:pPr>
            <w:r>
              <w:rPr>
                <w:rFonts w:ascii="Arial" w:cs="Arial" w:eastAsia="Arial" w:hAnsi="Arial"/>
                <w:color w:val="D0E0FF"/>
                <w:sz w:val="20"/>
                <w:szCs w:val="20"/>
              </w:rPr>
              <w:t xml:space="preserve">CNR-ICCOM Pisa — Gestione analisi ICP-OES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E8F0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Questo manuale spiega come usare ICP Tool in pochi minuti.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L'app funziona nel browser, salva i dati in locale e genera PDF professionali.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Nessuna installazione: basta aprire icp-tool.html o visitare il sito GitHub Pages.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1"/>
        <w:pBdr>
          <w:bottom w:val="single" w:color="1A3870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A3870"/>
          <w:sz w:val="28"/>
          <w:szCs w:val="28"/>
        </w:rPr>
        <w:t xml:space="preserve">1. Interfaccia principale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L'app è divisa in tre aree: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Sidebar</w:t>
            </w:r>
          </w:p>
        </w:tc>
        <w:tc>
          <w:tcPr>
            <w:tcW w:type="dxa" w:w="7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Colonna sinistra scura: elenco sessioni, "Nuova sessione", importa JSON. Ogni sessione mostra nome, data, stato e contatore campioni. Icona cestino per eliminare. Pulsante sigla operatore in fondo.</w:t>
            </w:r>
          </w:p>
        </w:tc>
      </w:tr>
      <w:tr>
        <w:tc>
          <w:tcPr>
            <w:tcW w:type="dxa" w:w="1800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E8F0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870"/>
                <w:sz w:val="20"/>
                <w:szCs w:val="20"/>
              </w:rPr>
              <w:t xml:space="preserve">Topbar</w:t>
            </w:r>
          </w:p>
        </w:tc>
        <w:tc>
          <w:tcPr>
            <w:tcW w:type="dxa" w:w="7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Barra in alto: nome sessione attiva, indicatore "Salvato", Esporta JSON, Chiudi sessione, toggle lingua ITA/ENG.</w:t>
            </w:r>
          </w:p>
        </w:tc>
      </w:tr>
      <w:tr>
        <w:tc>
          <w:tcPr>
            <w:tcW w:type="dxa" w:w="1800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Area principale</w:t>
            </w:r>
          </w:p>
        </w:tc>
        <w:tc>
          <w:tcPr>
            <w:tcW w:type="dxa" w:w="7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Contenuto scorrevole: barra navigazione passi 1-5 e moduli di inserimento dati.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1"/>
        <w:pBdr>
          <w:bottom w:val="single" w:color="1A3870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A3870"/>
          <w:sz w:val="28"/>
          <w:szCs w:val="28"/>
        </w:rPr>
        <w:t xml:space="preserve">2. Sigla operatore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Al primo avvio l'app chiede automaticamente di impostare una sigla personale (2-4 lettere). Questa sigla viene inclusa nell'ID di ogni campione e distingue i campioni preparati da operatori diversi su PC diversi, evitando duplicati.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2C55E" w:sz="1"/>
              <w:left w:val="single" w:color="22C55E" w:sz="1"/>
              <w:bottom w:val="single" w:color="22C55E" w:sz="1"/>
              <w:right w:val="single" w:color="22C55E" w:sz="1"/>
            </w:tcBorders>
            <w:shd w:fill="F0FD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Esempio: Lorenzo Birindelli imposta "LB" → i suoi campioni avranno ID ICP-2026-LB-0001, ICP-2026-LB-0002...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Maria Rossi su un altro PC imposta "MR" → ICP-2026-MR-0001, ICP-2026-MR-0002...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Nessun conflitto possibile tra i due laboratoristi.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Impostare o modificare la sigla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Al primo avvio: compare automaticamente il prompt con anteprima live dell'ID risultante.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In seguito: clicca il pulsante "Operatore: XX" in fondo alla sidebar per modificarla.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La sigla viene memorizzata nel browser — non serve reimpostarla ad ogni sessione.</w:t>
      </w:r>
    </w:p>
    <w:p>
      <w:pPr>
        <w:spacing w:after="100" w:before="0"/>
      </w:pPr>
      <w:r>
        <w:t xml:space="preserve"/>
      </w:r>
    </w:p>
    <w:p>
      <w:pPr>
        <w:pStyle w:val="Heading1"/>
        <w:pBdr>
          <w:bottom w:val="single" w:color="1A3870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A3870"/>
          <w:sz w:val="28"/>
          <w:szCs w:val="28"/>
        </w:rPr>
        <w:t xml:space="preserve">3. Gestione sessioni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Ogni sessione rappresenta un'analisi ICP completa. I dati vengono salvati automaticamente.</w:t>
      </w:r>
    </w:p>
    <w:p>
      <w:pPr>
        <w:spacing w:after="100" w:before="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Creare una sessione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Clicca "Nuova sessione" in cima alla sidebar.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Inserisci un nome descrittivo (es: "Campioni Cu Luglio 2026").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Clicca "Crea" — si apre direttamente il passo 1.</w:t>
      </w:r>
    </w:p>
    <w:p>
      <w:pPr>
        <w:spacing w:after="100" w:before="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Eliminare una sessione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Clicca l'icona cestino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🗑</w:t>
      </w:r>
      <w:r>
        <w:rPr>
          <w:rFonts w:ascii="Arial" w:cs="Arial" w:eastAsia="Arial" w:hAnsi="Arial"/>
          <w:sz w:val="20"/>
          <w:szCs w:val="20"/>
        </w:rPr>
        <w:t xml:space="preserve"> accanto al nome nella sidebar. Conferma nella finestra di dialogo.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59E0B" w:sz="1"/>
              <w:left w:val="single" w:color="F59E0B" w:sz="1"/>
              <w:bottom w:val="single" w:color="F59E0B" w:sz="1"/>
              <w:right w:val="single" w:color="F59E0B" w:sz="1"/>
            </w:tcBorders>
            <w:shd w:fill="FFF8E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Attenzione: eliminazione definitiva. Esporta sempre le sessioni importanti come JSON prima di eliminarle.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Esportare / Importare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Esporta: topbar → "Esporta JSON" — salva tutto in un file .json.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Importa: sidebar in basso → "Importa sessione JSON" — ricarica un file esportato.</w:t>
      </w:r>
    </w:p>
    <w:p>
      <w:pPr>
        <w:spacing w:after="100" w:before="0"/>
      </w:pPr>
      <w:r>
        <w:t xml:space="preserve"/>
      </w:r>
    </w:p>
    <w:p>
      <w:pPr>
        <w:pStyle w:val="Heading1"/>
        <w:pBdr>
          <w:bottom w:val="single" w:color="1A3870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A3870"/>
          <w:sz w:val="28"/>
          <w:szCs w:val="28"/>
        </w:rPr>
        <w:t xml:space="preserve">4. Flusso di lavoro — i 5 passi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Usa la barra in cima per navigare tra i passi.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5426"/>
      </w:tblGrid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870"/>
                <w:sz w:val="21"/>
                <w:szCs w:val="21"/>
              </w:rPr>
              <w:t xml:space="preserve">Parametri strumento</w:t>
            </w:r>
          </w:p>
        </w:tc>
        <w:tc>
          <w:tcPr>
            <w:tcW w:type="dxa" w:w="5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Range min/max ICP-OES (default 1-5 ppm)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870"/>
                <w:sz w:val="21"/>
                <w:szCs w:val="21"/>
              </w:rPr>
              <w:t xml:space="preserve">Standard di calibrazione</w:t>
            </w:r>
          </w:p>
        </w:tc>
        <w:tc>
          <w:tcPr>
            <w:tcW w:type="dxa" w:w="5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Preparazione standard monoelementali o multielementali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870"/>
                <w:sz w:val="21"/>
                <w:szCs w:val="21"/>
              </w:rPr>
              <w:t xml:space="preserve">Campioni</w:t>
            </w:r>
          </w:p>
        </w:tc>
        <w:tc>
          <w:tcPr>
            <w:tcW w:type="dxa" w:w="5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Peso/volume, elementi, calcolo matraccio, ID e etichette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870"/>
                <w:sz w:val="21"/>
                <w:szCs w:val="21"/>
              </w:rPr>
              <w:t xml:space="preserve">Letture ICP</w:t>
            </w:r>
          </w:p>
        </w:tc>
        <w:tc>
          <w:tcPr>
            <w:tcW w:type="dxa" w:w="5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Inserimento valori letti dallo strumento</w:t>
            </w:r>
          </w:p>
        </w:tc>
      </w:tr>
      <w:tr>
        <w:tc>
          <w:tcPr>
            <w:tcW w:type="dxa" w:w="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0F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1A3870"/>
                <w:sz w:val="21"/>
                <w:szCs w:val="21"/>
              </w:rPr>
              <w:t xml:space="preserve">Risultati</w:t>
            </w:r>
          </w:p>
        </w:tc>
        <w:tc>
          <w:tcPr>
            <w:tcW w:type="dxa" w:w="5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% in peso o ppm rilevati + PDF report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2"/>
        <w:spacing w:after="80" w:before="260"/>
      </w:pPr>
      <w:r>
        <w:rPr>
          <w:rFonts w:ascii="Arial" w:cs="Arial" w:eastAsia="Arial" w:hAnsi="Arial"/>
          <w:b/>
          <w:bCs/>
          <w:color w:val="1A3870"/>
          <w:sz w:val="22"/>
          <w:szCs w:val="22"/>
        </w:rPr>
        <w:t xml:space="preserve">Passo 1 — Parametri strumento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Definisci il range di lettura ICP-OES. Usato per il calcolo del matraccio nei campioni.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Parametro</w:t>
            </w:r>
          </w:p>
        </w:tc>
        <w:tc>
          <w:tcPr>
            <w:tcW w:type="dxa" w:w="6026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Descrizione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Range ICP min (ppm)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Valore minimo affidabile (default: 1 ppm)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Range ICP max (ppm)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Valore massimo affidabile (default: 5 ppm)</w:t>
            </w:r>
          </w:p>
        </w:tc>
      </w:tr>
    </w:tbl>
    <w:p>
      <w:pPr>
        <w:spacing w:after="100" w:before="0"/>
      </w:pPr>
      <w:r>
        <w:t xml:space="preserve"/>
      </w:r>
    </w:p>
    <w:p>
      <w:r>
        <w:br w:type="page"/>
      </w:r>
    </w:p>
    <w:p>
      <w:pPr>
        <w:pStyle w:val="Heading2"/>
        <w:spacing w:after="80" w:before="260"/>
      </w:pPr>
      <w:r>
        <w:rPr>
          <w:rFonts w:ascii="Arial" w:cs="Arial" w:eastAsia="Arial" w:hAnsi="Arial"/>
          <w:b/>
          <w:bCs/>
          <w:color w:val="1A3870"/>
          <w:sz w:val="22"/>
          <w:szCs w:val="22"/>
        </w:rPr>
        <w:t xml:space="preserve">Passo 2 — Standard di calibrazione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"Hai bisogno di preparare gli standard elementali?" — Se sì, configura tipo, elementi e livelli.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6026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Comportamento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Monoelementale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Un elemento per standard. Un dropdown + stock (ppm).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Multielementale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Piu elementi. Ogni elemento ha il proprio stock commerciale.</w:t>
            </w:r>
          </w:p>
        </w:tc>
      </w:tr>
    </w:tbl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E8F0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Volume finale fisso: 50 mL (matraccio standard di laboratorio).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Formula: Aliquota (mL) = (C_target x 50) / C_stock. Se &lt; 1 mL viene espresso in µL.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Clicca "Genera PDF standard" per stampare le istruzioni di preparazione.</w:t>
      </w:r>
    </w:p>
    <w:p>
      <w:pPr>
        <w:spacing w:after="100" w:before="0"/>
      </w:pPr>
      <w:r>
        <w:t xml:space="preserve"/>
      </w:r>
    </w:p>
    <w:p>
      <w:pPr>
        <w:pStyle w:val="Heading2"/>
        <w:spacing w:after="80" w:before="260"/>
      </w:pPr>
      <w:r>
        <w:rPr>
          <w:rFonts w:ascii="Arial" w:cs="Arial" w:eastAsia="Arial" w:hAnsi="Arial"/>
          <w:b/>
          <w:bCs/>
          <w:color w:val="1A3870"/>
          <w:sz w:val="22"/>
          <w:szCs w:val="22"/>
        </w:rPr>
        <w:t xml:space="preserve">Passo 3 — Campioni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Aggiungi i campioni. Ogni campione riceve automaticamente un ID univoco alla creazione.</w:t>
      </w:r>
    </w:p>
    <w:p>
      <w:pPr>
        <w:spacing w:after="100" w:before="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ID campione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Formato: </w:t>
      </w:r>
      <w:r>
        <w:rPr>
          <w:rFonts w:ascii="Courier New" w:cs="Courier New" w:eastAsia="Courier New" w:hAnsi="Courier New"/>
          <w:b/>
          <w:bCs/>
          <w:color w:val="1A3870"/>
          <w:sz w:val="20"/>
          <w:szCs w:val="20"/>
        </w:rPr>
        <w:t xml:space="preserve">ICP-ANNO-SIGLA-NNNN</w:t>
      </w:r>
      <w:r>
        <w:rPr>
          <w:rFonts w:ascii="Arial" w:cs="Arial" w:eastAsia="Arial" w:hAnsi="Arial"/>
          <w:sz w:val="20"/>
          <w:szCs w:val="20"/>
        </w:rPr>
        <w:t xml:space="preserve">   es: ICP-2026-LB-0042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L'ID compare nell'header del campione (badge blu) e sulle etichette del PDF di preparazione.</w:t>
      </w:r>
    </w:p>
    <w:p>
      <w:pPr>
        <w:spacing w:after="100" w:before="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Tipo campione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Polvere / Solido</w:t>
            </w:r>
          </w:p>
        </w:tc>
        <w:tc>
          <w:tcPr>
            <w:tcW w:type="dxa" w:w="6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Inserisci peso (g) e % teorica per elemento. Risultato finale: % in peso.</w:t>
            </w:r>
          </w:p>
        </w:tc>
      </w:tr>
      <w:tr>
        <w:tc>
          <w:tcPr>
            <w:tcW w:type="dxa" w:w="2200"/>
            <w:tcBorders>
              <w:top w:val="single" w:color="93C5FD" w:sz="1"/>
              <w:left w:val="single" w:color="93C5FD" w:sz="1"/>
              <w:bottom w:val="single" w:color="93C5FD" w:sz="1"/>
              <w:right w:val="single" w:color="93C5FD" w:sz="1"/>
            </w:tcBorders>
            <w:shd w:fill="E0F2F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75985"/>
                <w:sz w:val="20"/>
                <w:szCs w:val="20"/>
              </w:rPr>
              <w:t xml:space="preserve">Gia in soluzione</w:t>
            </w:r>
          </w:p>
        </w:tc>
        <w:tc>
          <w:tcPr>
            <w:tcW w:type="dxa" w:w="6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Inserisci volume soluzione (mL) e C teorica (ppm) per elemento. Risultato finale: ppm rilevati.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Calcolo matraccio automatico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Verde: concentrazione stimata nel range ICP. Matraccio consigliato mostrato direttamente.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Giallo: necessaria diluizione. Il sistema suggerisce le due fasi (1000 mL + riduzione). Volumi modificabili.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E8F0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Formula (solido, senza dil.): C (ppm) = (% / 100 x peso_g x 1000) / V_matraccio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Formula (solido, con dil.): C_finale = C_madre x V_aliquota / V_matraccio_dil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Etichette campioni (nel PDF preparazione)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Il PDF di preparazione include una pagina finale con le etichette pronte da ritagliare: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Formato 45x25 mm — compatibile con matracci 25 mL e Falcon 50 mL.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Layout 4x10 per foglio A4 (max 40 etichette). Se i campioni sono pochi, le etichette appaiono nella stessa pagina delle istruzioni.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Bordo tratteggiato per il ritaglio. Contenuto: ID, sigla operatore, data, nome campione, elementi, peso/volume.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Stampare su fogli etichette 45x25 mm (es. Avery 3651 o compatibile).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Clicca "Genera PDF preparazione campioni" per stampare istruzioni + etichette.</w:t>
      </w:r>
    </w:p>
    <w:p>
      <w:pPr>
        <w:spacing w:after="100" w:before="0"/>
      </w:pPr>
      <w:r>
        <w:t xml:space="preserve"/>
      </w:r>
    </w:p>
    <w:p>
      <w:r>
        <w:br w:type="page"/>
      </w:r>
    </w:p>
    <w:p>
      <w:pPr>
        <w:pStyle w:val="Heading2"/>
        <w:spacing w:after="80" w:before="260"/>
      </w:pPr>
      <w:r>
        <w:rPr>
          <w:rFonts w:ascii="Arial" w:cs="Arial" w:eastAsia="Arial" w:hAnsi="Arial"/>
          <w:b/>
          <w:bCs/>
          <w:color w:val="1A3870"/>
          <w:sz w:val="22"/>
          <w:szCs w:val="22"/>
        </w:rPr>
        <w:t xml:space="preserve">Passo 4 — Letture ICP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Inserisci i valori in ppm letti dallo strumento per ogni elemento. Il campo mostra il matraccio usato come riferimento.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2C55E" w:sz="1"/>
              <w:left w:val="single" w:color="22C55E" w:sz="1"/>
              <w:bottom w:val="single" w:color="22C55E" w:sz="1"/>
              <w:right w:val="single" w:color="22C55E" w:sz="1"/>
            </w:tcBorders>
            <w:shd w:fill="F0FDF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Salvataggio automatico: ogni modifica viene salvata istantaneamente nel browser.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2"/>
        <w:spacing w:after="80" w:before="260"/>
      </w:pPr>
      <w:r>
        <w:rPr>
          <w:rFonts w:ascii="Arial" w:cs="Arial" w:eastAsia="Arial" w:hAnsi="Arial"/>
          <w:b/>
          <w:bCs/>
          <w:color w:val="1A3870"/>
          <w:sz w:val="22"/>
          <w:szCs w:val="22"/>
        </w:rPr>
        <w:t xml:space="preserve">Passo 5 — Risultati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Il sistema calcola automaticamente il risultato per ogni elemento: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6026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Formula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Campione solido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% in peso = (lettura_ppm x V_matraccio) / (peso_g x 1000) x 100. Fattore diluizione incluso.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Campione in soluzione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C rilevata (ppm) = lettura x fattore diluizione (se applicato).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Generare il PDF Risultati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Clicca "Genera PDF Risultati".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Scegli la lingua: Italiano o English.</w:t>
      </w:r>
    </w:p>
    <w:p>
      <w:pPr>
        <w:pStyle w:val="ListParagraph"/>
        <w:numPr>
          <w:ilvl w:val="0"/>
          <w:numId w:val="3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Il PDF include: intestazione CNR-ICCOM, riepilogo, tabella risultati, nota metodologica, riga firma.</w:t>
      </w:r>
    </w:p>
    <w:p>
      <w:pPr>
        <w:spacing w:after="100" w:before="0"/>
      </w:pPr>
      <w:r>
        <w:t xml:space="preserve"/>
      </w:r>
    </w:p>
    <w:p>
      <w:pPr>
        <w:pStyle w:val="Heading1"/>
        <w:pBdr>
          <w:bottom w:val="single" w:color="1A3870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A3870"/>
          <w:sz w:val="28"/>
          <w:szCs w:val="28"/>
        </w:rPr>
        <w:t xml:space="preserve">5. Riepilogo PDF generabili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PDF generabile</w:t>
            </w:r>
          </w:p>
        </w:tc>
        <w:tc>
          <w:tcPr>
            <w:tcW w:type="dxa" w:w="6026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1A387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Preparazione campioni (Passo 3)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Istruzioni matracci/diluizioni + etichette 45x25 mm con tratteggio ritaglio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Standard calibrazione (Passo 2)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Tabella aliquote per livello + procedura preparazione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Risultati analisi (Passo 5, ITA/ENG)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sz w:val="19"/>
                <w:szCs w:val="19"/>
              </w:rPr>
              <w:t xml:space="preserve">Report professionale: % in peso o ppm, metodologia, riga firme</w:t>
            </w:r>
          </w:p>
        </w:tc>
      </w:tr>
    </w:tbl>
    <w:p>
      <w:pPr>
        <w:spacing w:after="100" w:before="0"/>
      </w:pPr>
      <w:r>
        <w:t xml:space="preserve"/>
      </w:r>
    </w:p>
    <w:p>
      <w:pPr>
        <w:pStyle w:val="Heading1"/>
        <w:pBdr>
          <w:bottom w:val="single" w:color="1A3870" w:sz="8" w:space="4"/>
        </w:pBdr>
        <w:spacing w:after="120" w:before="360"/>
      </w:pPr>
      <w:r>
        <w:rPr>
          <w:rFonts w:ascii="Arial" w:cs="Arial" w:eastAsia="Arial" w:hAnsi="Arial"/>
          <w:b/>
          <w:bCs/>
          <w:color w:val="1A3870"/>
          <w:sz w:val="28"/>
          <w:szCs w:val="28"/>
        </w:rPr>
        <w:t xml:space="preserve">6. Note tecniche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Archiviazione dati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Dati nel localStorage del browser — nessun server esterno. La sigla operatore e il contatore ID sono salvati separatamente dalle sessioni e persistono tra sessioni diverse. Usa "Esporta JSON" per backup.</w:t>
      </w:r>
    </w:p>
    <w:p>
      <w:pPr>
        <w:spacing w:after="100" w:before="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ID campioni — unicita garantita</w:t>
      </w:r>
    </w:p>
    <w:p>
      <w:pPr>
        <w:spacing w:after="80" w:before="60"/>
      </w:pPr>
      <w:r>
        <w:rPr>
          <w:rFonts w:ascii="Arial" w:cs="Arial" w:eastAsia="Arial" w:hAnsi="Arial"/>
          <w:sz w:val="20"/>
          <w:szCs w:val="20"/>
        </w:rPr>
        <w:t xml:space="preserve">Il contatore e separato per operatore e per anno (chiave: icp_counter_2026_LB). Due laboratoristi sullo stesso strumento non genereranno mai lo stesso ID, purche abbiano sigle diverse.</w:t>
      </w:r>
    </w:p>
    <w:p>
      <w:pPr>
        <w:spacing w:after="100" w:before="0"/>
      </w:pPr>
      <w:r>
        <w:t xml:space="preserve"/>
      </w:r>
    </w:p>
    <w:p>
      <w:pPr>
        <w:spacing w:after="60" w:before="18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Compatibilita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File locale (icp-tool.html): offline, doppio click. Dati nel browser locale.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sz w:val="20"/>
          <w:szCs w:val="20"/>
        </w:rPr>
        <w:t xml:space="preserve">Web (GitHub Pages): online con cache offline (Service Worker). Prima apertura richiede connessione.</w:t>
      </w:r>
    </w:p>
    <w:p>
      <w:pPr>
        <w:spacing w:after="1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1A3870" w:sz="1"/>
              <w:left w:val="single" w:color="1A3870" w:sz="1"/>
              <w:bottom w:val="single" w:color="1A3870" w:sz="1"/>
              <w:right w:val="single" w:color="1A3870" w:sz="1"/>
            </w:tcBorders>
            <w:shd w:fill="E8F0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Per assistenza: Lorenzo Birindelli — CNR-ICCOM Pisa</w:t>
            </w:r>
          </w:p>
          <w:p>
            <w:pPr>
              <w:spacing w:after="30" w:before="3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Repo: github.com/lorebiri/icp-tool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134" w:bottom="12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4"/>
      </w:pBdr>
      <w:spacing w:before="60"/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CNR-ICCOM Pisa — Sviluppato da Lorenzo Birindelli   |   Pag.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870" w:sz="6" w:space="4"/>
      </w:pBdr>
      <w:spacing w:after="0"/>
      <w:jc w:val="right"/>
    </w:pPr>
    <w:r>
      <w:rPr>
        <w:rFonts w:ascii="Arial" w:cs="Arial" w:eastAsia="Arial" w:hAnsi="Arial"/>
        <w:b/>
        <w:bCs/>
        <w:color w:val="1A3870"/>
        <w:sz w:val="18"/>
        <w:szCs w:val="18"/>
      </w:rPr>
      <w:t xml:space="preserve">ICP Tool </w:t>
    </w:r>
    <w:r>
      <w:rPr>
        <w:rFonts w:ascii="Arial" w:cs="Arial" w:eastAsia="Arial" w:hAnsi="Arial"/>
        <w:color w:val="666666"/>
        <w:sz w:val="18"/>
        <w:szCs w:val="18"/>
      </w:rPr>
      <w:t xml:space="preserve">— Manuale d'uso rapido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A387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60"/>
      <w:outlineLvl w:val="1"/>
    </w:pPr>
    <w:rPr>
      <w:rFonts w:ascii="Arial" w:cs="Arial" w:eastAsia="Arial" w:hAnsi="Arial"/>
      <w:b/>
      <w:bCs/>
      <w:color w:val="1A387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2026-06-05T21:49:33.629Z</dcterms:created>
  <dcterms:modified xsi:type="dcterms:W3CDTF">2026-06-05T21:49:33.629Z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