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74CB" w14:textId="77777777" w:rsidR="00B34E0A" w:rsidRPr="00B34E0A" w:rsidRDefault="00B34E0A" w:rsidP="00B34E0A">
      <w:pPr>
        <w:jc w:val="center"/>
        <w:rPr>
          <w:rFonts w:ascii="Adobe Caslon Pro" w:eastAsia="Times New Roman" w:hAnsi="Adobe Caslon Pro" w:cs="Times New Roman"/>
          <w:b/>
          <w:sz w:val="28"/>
          <w:szCs w:val="20"/>
        </w:rPr>
      </w:pPr>
      <w:r w:rsidRPr="00B34E0A"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Improve the Web Annotaton Tool f</w:t>
      </w:r>
      <w:r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or Surveillance Scenarios with Computer V</w:t>
      </w:r>
      <w:r w:rsidRPr="00B34E0A"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ision</w:t>
      </w:r>
    </w:p>
    <w:p w14:paraId="183A87DC" w14:textId="77777777" w:rsidR="00442385" w:rsidRPr="00B34E0A" w:rsidRDefault="00442385">
      <w:pPr>
        <w:rPr>
          <w:rFonts w:ascii="Adobe Caslon Pro" w:hAnsi="Adobe Caslon Pro"/>
        </w:rPr>
      </w:pPr>
    </w:p>
    <w:p w14:paraId="187ABCEB" w14:textId="77777777" w:rsidR="00B34E0A" w:rsidRPr="00B34E0A" w:rsidRDefault="00B34E0A">
      <w:pPr>
        <w:rPr>
          <w:rFonts w:ascii="Adobe Caslon Pro" w:hAnsi="Adobe Caslon Pro"/>
        </w:rPr>
      </w:pPr>
    </w:p>
    <w:p w14:paraId="37AE4D7A" w14:textId="77777777" w:rsidR="00B34E0A" w:rsidRPr="00EC4C4D" w:rsidRDefault="00B34E0A" w:rsidP="00EC4C4D">
      <w:pPr>
        <w:jc w:val="center"/>
        <w:rPr>
          <w:rFonts w:ascii="Adobe Caslon Pro" w:hAnsi="Adobe Caslon Pro"/>
          <w:i/>
          <w:sz w:val="32"/>
        </w:rPr>
      </w:pPr>
      <w:r w:rsidRPr="00EC4C4D">
        <w:rPr>
          <w:rFonts w:ascii="Adobe Caslon Pro" w:hAnsi="Adobe Caslon Pro"/>
          <w:i/>
          <w:sz w:val="32"/>
        </w:rPr>
        <w:t>Analisi comparativa tra sistemi di annotazione</w:t>
      </w:r>
    </w:p>
    <w:p w14:paraId="34DF0D73" w14:textId="77777777" w:rsidR="00B34E0A" w:rsidRPr="00B34E0A" w:rsidRDefault="00B34E0A">
      <w:pPr>
        <w:rPr>
          <w:rFonts w:ascii="Adobe Caslon Pro" w:hAnsi="Adobe Caslon Pro"/>
        </w:rPr>
      </w:pPr>
    </w:p>
    <w:p w14:paraId="6C13BD3B" w14:textId="77777777" w:rsidR="00B34E0A" w:rsidRDefault="00B34E0A">
      <w:pPr>
        <w:rPr>
          <w:rFonts w:ascii="Adobe Caslon Pro" w:hAnsi="Adobe Caslon Pro"/>
          <w:b/>
          <w:sz w:val="28"/>
        </w:rPr>
      </w:pPr>
      <w:r w:rsidRPr="00EC4C4D">
        <w:rPr>
          <w:rFonts w:ascii="Adobe Caslon Pro" w:hAnsi="Adobe Caslon Pro"/>
          <w:b/>
          <w:sz w:val="28"/>
        </w:rPr>
        <w:t>LabelMe</w:t>
      </w:r>
    </w:p>
    <w:p w14:paraId="4C4F7313" w14:textId="77777777" w:rsidR="00EC4C4D" w:rsidRDefault="00EC4C4D">
      <w:pPr>
        <w:rPr>
          <w:rFonts w:ascii="Adobe Caslon Pro" w:hAnsi="Adobe Caslon Pro"/>
          <w:b/>
          <w:sz w:val="28"/>
        </w:rPr>
      </w:pPr>
    </w:p>
    <w:p w14:paraId="1EFE7672" w14:textId="77777777" w:rsidR="00EC4C4D" w:rsidRDefault="00CA56EF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>Annotazione mediante definizione di aree poligonali nell’immagine. A ciascun poligono è possibile associare una label, impostare come occluso o meno da altri oggetti</w:t>
      </w:r>
      <w:r w:rsidR="005B6466">
        <w:rPr>
          <w:rFonts w:ascii="Adobe Caslon Pro" w:hAnsi="Adobe Caslon Pro"/>
          <w:sz w:val="22"/>
        </w:rPr>
        <w:t>.</w:t>
      </w:r>
    </w:p>
    <w:p w14:paraId="2312C563" w14:textId="77777777" w:rsidR="005B6466" w:rsidRDefault="005B6466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Consente annotazioni annidate per etichettare oggetti che ne includo altri.</w:t>
      </w:r>
    </w:p>
    <w:p w14:paraId="222B35DE" w14:textId="77777777" w:rsidR="000251A3" w:rsidRDefault="000251A3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la definizione di aree dell’immagine andando a colorare oggetti a partire da tracce disegnate su di essi. Permette di definire aree esterne o interne agli oggetti.</w:t>
      </w:r>
    </w:p>
    <w:p w14:paraId="6EBE4363" w14:textId="77777777" w:rsidR="004B453C" w:rsidRDefault="004B453C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142C2095" w14:textId="77777777" w:rsidR="005B6466" w:rsidRPr="00CA56EF" w:rsidRDefault="005B6466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 Mancanza di un Undo action.</w:t>
      </w:r>
    </w:p>
    <w:p w14:paraId="7BEAB217" w14:textId="77777777" w:rsidR="00B34E0A" w:rsidRPr="00B34E0A" w:rsidRDefault="00B34E0A">
      <w:pPr>
        <w:rPr>
          <w:rFonts w:ascii="Adobe Caslon Pro" w:hAnsi="Adobe Caslon Pro"/>
        </w:rPr>
      </w:pPr>
    </w:p>
    <w:p w14:paraId="40F67D6B" w14:textId="77777777" w:rsidR="00B34E0A" w:rsidRPr="00B34E0A" w:rsidRDefault="00B34E0A">
      <w:pPr>
        <w:rPr>
          <w:rFonts w:ascii="Adobe Caslon Pro" w:hAnsi="Adobe Caslon Pro"/>
        </w:rPr>
      </w:pPr>
    </w:p>
    <w:p w14:paraId="4B3635D5" w14:textId="77777777" w:rsidR="00B34E0A" w:rsidRDefault="00B34E0A">
      <w:pPr>
        <w:rPr>
          <w:rFonts w:ascii="Adobe Caslon Pro" w:hAnsi="Adobe Caslon Pro"/>
          <w:b/>
          <w:sz w:val="28"/>
        </w:rPr>
      </w:pPr>
      <w:r w:rsidRPr="00EC4C4D">
        <w:rPr>
          <w:rFonts w:ascii="Adobe Caslon Pro" w:hAnsi="Adobe Caslon Pro"/>
          <w:b/>
          <w:sz w:val="28"/>
        </w:rPr>
        <w:t>Viper-GT</w:t>
      </w:r>
    </w:p>
    <w:p w14:paraId="4B2780E0" w14:textId="77777777" w:rsidR="00E828A9" w:rsidRDefault="00E828A9">
      <w:pPr>
        <w:rPr>
          <w:rFonts w:ascii="Adobe Caslon Pro" w:hAnsi="Adobe Caslon Pro"/>
          <w:b/>
          <w:sz w:val="28"/>
        </w:rPr>
      </w:pPr>
    </w:p>
    <w:p w14:paraId="793E83BA" w14:textId="2E8BF979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Annotazione video, perfezionamento metadati</w:t>
      </w:r>
    </w:p>
    <w:p w14:paraId="4CB3F35C" w14:textId="3675EA49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Utilizza bounding boxes per annotare gli oggetti sui vari frames dei video</w:t>
      </w:r>
    </w:p>
    <w:p w14:paraId="1816B825" w14:textId="245FB412" w:rsidR="00E828A9" w:rsidRP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Annotazioni collezionate su una timeline, durante l’esecuzione del video vengono mostrate le bb del frame corrispondente e queste vengono evidenziate nella timeline</w:t>
      </w:r>
    </w:p>
    <w:p w14:paraId="4587E824" w14:textId="0547EC31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Tool non intuitivo, necessaria un’ampia lettura delle documentazione per prendere confidenza. Alcune operazioni semplici, come l’inserimento di una nuova bb, non sono affatto intuitive.</w:t>
      </w:r>
    </w:p>
    <w:p w14:paraId="09D6820D" w14:textId="3E346C27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544E49BC" w14:textId="5BF7F1E6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effettuare una propagazione mediante interpolazione tra frame consecutivi.</w:t>
      </w:r>
    </w:p>
    <w:p w14:paraId="493D7EB8" w14:textId="57332F4F" w:rsidR="008E6472" w:rsidRDefault="008E6472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5E6BB8B9" w14:textId="77777777" w:rsidR="006868C0" w:rsidRDefault="006868C0" w:rsidP="006868C0">
      <w:pPr>
        <w:rPr>
          <w:rFonts w:ascii="Adobe Caslon Pro" w:hAnsi="Adobe Caslon Pro"/>
          <w:sz w:val="22"/>
        </w:rPr>
      </w:pPr>
    </w:p>
    <w:p w14:paraId="409C0C21" w14:textId="77777777" w:rsidR="006868C0" w:rsidRDefault="006868C0" w:rsidP="006868C0">
      <w:pPr>
        <w:rPr>
          <w:rFonts w:ascii="Adobe Caslon Pro" w:hAnsi="Adobe Caslon Pro"/>
          <w:sz w:val="22"/>
        </w:rPr>
      </w:pPr>
    </w:p>
    <w:p w14:paraId="2E258F0C" w14:textId="4293F147" w:rsidR="006868C0" w:rsidRDefault="006868C0" w:rsidP="006868C0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MuseumVisitors</w:t>
      </w:r>
    </w:p>
    <w:p w14:paraId="5A9884A3" w14:textId="77777777" w:rsidR="001A1E58" w:rsidRDefault="001A1E58" w:rsidP="006868C0">
      <w:pPr>
        <w:rPr>
          <w:rFonts w:ascii="Adobe Caslon Pro" w:hAnsi="Adobe Caslon Pro"/>
          <w:b/>
          <w:sz w:val="28"/>
        </w:rPr>
      </w:pPr>
      <w:bookmarkStart w:id="0" w:name="_GoBack"/>
      <w:bookmarkEnd w:id="0"/>
    </w:p>
    <w:p w14:paraId="40937D6E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Annotazione mediante bounding box per singola persona</w:t>
      </w:r>
    </w:p>
    <w:p w14:paraId="33E5A432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definire la parte visibile della persona (all’interno delle bounding box definita)</w:t>
      </w:r>
    </w:p>
    <w:p w14:paraId="1A1F6858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Ciascuna persona viene registrata nel sistema e ne viene definito un avatar per consentire un successivo reinserimento della stessa in altri frame</w:t>
      </w:r>
    </w:p>
    <w:p w14:paraId="14D06FCA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definizione di gruppi di persone</w:t>
      </w:r>
    </w:p>
    <w:p w14:paraId="0829AE29" w14:textId="77777777" w:rsidR="008E6472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</w:t>
      </w:r>
      <w:r w:rsidR="008E6472">
        <w:rPr>
          <w:rFonts w:ascii="Adobe Caslon Pro" w:hAnsi="Adobe Caslon Pro"/>
          <w:sz w:val="22"/>
        </w:rPr>
        <w:t>attribuire un POI (scelto da una lista di possibili) che corrisponde all’opera di fronte al quale si trova</w:t>
      </w:r>
    </w:p>
    <w:p w14:paraId="49B9FF1C" w14:textId="6F98D7E4" w:rsidR="006868C0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72A2EE32" w14:textId="559F3D0A" w:rsidR="008E6472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58F5822C" w14:textId="5D8FAE25" w:rsidR="008E6472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07DEEB" w14:textId="77777777" w:rsidR="00E828A9" w:rsidRPr="00E828A9" w:rsidRDefault="00E828A9" w:rsidP="00E828A9">
      <w:pPr>
        <w:pStyle w:val="Paragrafoelenco"/>
        <w:rPr>
          <w:rFonts w:ascii="Adobe Caslon Pro" w:hAnsi="Adobe Caslon Pro"/>
          <w:sz w:val="22"/>
        </w:rPr>
      </w:pPr>
    </w:p>
    <w:p w14:paraId="52A3DCC4" w14:textId="77777777" w:rsidR="00E828A9" w:rsidRPr="00EC4C4D" w:rsidRDefault="00E828A9">
      <w:pPr>
        <w:rPr>
          <w:rFonts w:ascii="Adobe Caslon Pro" w:hAnsi="Adobe Caslon Pro"/>
          <w:b/>
          <w:sz w:val="28"/>
        </w:rPr>
      </w:pPr>
    </w:p>
    <w:sectPr w:rsidR="00E828A9" w:rsidRPr="00EC4C4D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0A"/>
    <w:rsid w:val="000251A3"/>
    <w:rsid w:val="001A1E58"/>
    <w:rsid w:val="00442385"/>
    <w:rsid w:val="004B453C"/>
    <w:rsid w:val="004C0826"/>
    <w:rsid w:val="005B6466"/>
    <w:rsid w:val="006868C0"/>
    <w:rsid w:val="008E6472"/>
    <w:rsid w:val="00B34E0A"/>
    <w:rsid w:val="00CA56EF"/>
    <w:rsid w:val="00E828A9"/>
    <w:rsid w:val="00E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D49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314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5</cp:revision>
  <dcterms:created xsi:type="dcterms:W3CDTF">2016-01-15T10:10:00Z</dcterms:created>
  <dcterms:modified xsi:type="dcterms:W3CDTF">2016-01-18T10:43:00Z</dcterms:modified>
</cp:coreProperties>
</file>