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pyramid that reprices first</w:t>
      </w:r>
    </w:p>
    <w:p>
      <w:r>
        <w:rPr>
          <w:b w:val="0"/>
          <w:i/>
        </w:rPr>
        <w:t>AI is detaching the price of a deliverable from the hours it took. The firms that charge for the outcome keep the gap.</w:t>
      </w:r>
    </w:p>
    <w:p>
      <w:r>
        <w:rPr>
          <w:b w:val="0"/>
          <w:i w:val="0"/>
        </w:rPr>
        <w:t>A quarter of McKinsey's fees no longer come from hours. They come from outcomes. The engineering consultancy still billing by the hour for AI-assisted work is selling the one thing AI is making cheap.</w:t>
      </w:r>
    </w:p>
    <w:p>
      <w:pPr>
        <w:pStyle w:val="Heading1"/>
      </w:pPr>
      <w:r>
        <w:t>The claim</w:t>
      </w:r>
    </w:p>
    <w:p>
      <w:hyperlink r:id="rId9">
        <w:r>
          <w:rPr>
            <w:color w:val="0563C1"/>
            <w:u w:val="single"/>
          </w:rPr>
          <w:t xml:space="preserve">About 25% of McKinsey's global fees now come from outcomes-based pricing</w:t>
        </w:r>
      </w:hyperlink>
      <w:r>
        <w:rPr>
          <w:b w:val="0"/>
          <w:i w:val="0"/>
        </w:rPr>
        <w:t>, where the fee is contingent on the result the firm delivers rather than the time it takes. That number is the clearest signal yet of where this goes. When a model does in minutes the analysis that used to fill a week of timesheets, the hour stops being a fair unit of price. The firms that move first to charge for the outcome keep the gap between what the work costs them and what it is worth to the client. The firms that keep selling the hour hand that gap back.</w:t>
      </w:r>
    </w:p>
    <w:p>
      <w:pPr>
        <w:pStyle w:val="Heading1"/>
      </w:pPr>
      <w:r>
        <w:t>What happened</w:t>
      </w:r>
    </w:p>
    <w:p>
      <w:r>
        <w:rPr>
          <w:b w:val="0"/>
          <w:i w:val="0"/>
        </w:rPr>
        <w:t>This week the pattern showed up on both sides of the business I write about.</w:t>
      </w:r>
    </w:p>
    <w:p>
      <w:r>
        <w:rPr>
          <w:b w:val="0"/>
          <w:i w:val="0"/>
        </w:rPr>
        <w:t xml:space="preserve">On the management consulting side, the pricing shift is now measurable. McKinsey's UK managing partner Michael Birshan put outcomes-based work at about a quarter of global fees and said </w:t>
      </w:r>
      <w:hyperlink r:id="rId9">
        <w:r>
          <w:rPr>
            <w:color w:val="0563C1"/>
            <w:u w:val="single"/>
          </w:rPr>
          <w:t xml:space="preserve">“we're doing more performance-based arrangements with our clients”</w:t>
        </w:r>
      </w:hyperlink>
      <w:r>
        <w:rPr>
          <w:b w:val="0"/>
          <w:i w:val="0"/>
        </w:rPr>
        <w:t xml:space="preserve">. The </w:t>
      </w:r>
      <w:hyperlink r:id="rId10">
        <w:r>
          <w:rPr>
            <w:color w:val="0563C1"/>
            <w:u w:val="single"/>
          </w:rPr>
          <w:t xml:space="preserve">Futurum Group's first-half 2026 survey</w:t>
        </w:r>
      </w:hyperlink>
      <w:r>
        <w:rPr>
          <w:b w:val="0"/>
          <w:i w:val="0"/>
        </w:rPr>
        <w:t xml:space="preserve"> of 838 enterprise buyers found outcome-based pricing at 21.7% of contracts, which the reporting frames as the first time it has drawn level with per-seat pricing. </w:t>
      </w:r>
      <w:hyperlink r:id="rId10">
        <w:r>
          <w:rPr>
            <w:color w:val="0563C1"/>
            <w:u w:val="single"/>
          </w:rPr>
          <w:t xml:space="preserve">Accenture's June 18 earnings were framed in advance</w:t>
        </w:r>
      </w:hyperlink>
      <w:r>
        <w:rPr>
          <w:b w:val="0"/>
          <w:i w:val="0"/>
        </w:rPr>
        <w:t xml:space="preserve"> as a test of whether AI consulting is real revenue or only bookings.</w:t>
      </w:r>
    </w:p>
    <w:p>
      <w:r>
        <w:rPr>
          <w:b w:val="0"/>
          <w:i w:val="0"/>
        </w:rPr>
        <w:t xml:space="preserve">On the AEC side, the same force is arriving through the jobsite rather than the rate card. Suffolk, one of the larger US contractors, announced its </w:t>
      </w:r>
      <w:hyperlink r:id="rId11">
        <w:r>
          <w:rPr>
            <w:color w:val="0563C1"/>
            <w:u w:val="single"/>
          </w:rPr>
          <w:t xml:space="preserve">“Jobsite of the Future” program</w:t>
        </w:r>
      </w:hyperlink>
      <w:r>
        <w:rPr>
          <w:b w:val="0"/>
          <w:i w:val="0"/>
        </w:rPr>
        <w:t xml:space="preserve"> on June 9 and is embedding AI engineers directly on projects. They sit in project meetings and build tools across design, schedule, and procurement: design review that flags drawing conflicts before construction starts, delivery tracking, and an AI requisition process for monthly payments. CEO John Fish named the driver plainly, “cost increases and growing labor woes.” Suffolk has put </w:t>
      </w:r>
      <w:hyperlink r:id="rId11">
        <w:r>
          <w:rPr>
            <w:color w:val="0563C1"/>
            <w:u w:val="single"/>
          </w:rPr>
          <w:t xml:space="preserve">more than $100 million into data and technology</w:t>
        </w:r>
      </w:hyperlink>
      <w:r>
        <w:rPr>
          <w:b w:val="0"/>
          <w:i w:val="0"/>
        </w:rPr>
        <w:t xml:space="preserve"> over the past decade and sits on a 293 terabyte data lake.</w:t>
      </w:r>
    </w:p>
    <w:p>
      <w:r>
        <w:rPr>
          <w:b w:val="0"/>
          <w:i w:val="0"/>
        </w:rPr>
        <w:t xml:space="preserve">The tools those engineers use are getting a new foundation. Autodesk unveiled “neural CAD,” AI models trained to reason about and generate precision 2D and 3D geometry from a sketch, an image, or a spoken instruction. Its head of research Mike Haley called it </w:t>
      </w:r>
      <w:hyperlink r:id="rId12">
        <w:r>
          <w:rPr>
            <w:color w:val="0563C1"/>
            <w:u w:val="single"/>
          </w:rPr>
          <w:t xml:space="preserve">“the first step function change in CAD technology in more than 40 years”</w:t>
        </w:r>
      </w:hyperlink>
      <w:r>
        <w:rPr>
          <w:b w:val="0"/>
          <w:i w:val="0"/>
        </w:rPr>
        <w:t>. The cost of producing the drawing itself is now in play, which is the input the AEC hour was built to bill.</w:t>
      </w:r>
    </w:p>
    <w:p>
      <w:pPr>
        <w:pStyle w:val="Heading1"/>
      </w:pPr>
      <w:r>
        <w:t>Why it matters to a firm like yours</w:t>
      </w:r>
    </w:p>
    <w:p>
      <w:r>
        <w:rPr>
          <w:b w:val="0"/>
          <w:i w:val="0"/>
        </w:rPr>
        <w:t>A consultancy is a machine that converts senior judgment into priced deliverables. For a century the meter on that machine has been time. The pyramid of juniors existed because the work took hours, the hours needed bodies, and the bodies billed. AI breaks the link between the deliverable and the hours. The report still has value. The week it used to take does not.</w:t>
      </w:r>
    </w:p>
    <w:p>
      <w:r>
        <w:rPr>
          <w:b w:val="0"/>
          <w:i w:val="0"/>
        </w:rPr>
        <w:t>That is why the McKinsey number matters more than any tool demo. McKinsey reprices onto outcomes for a hard reason: the hour is becoming a worse proxy for the value it delivers every quarter, and a fee tied to a result holds up even when the labor behind it collapses. I am fairly confident this is the durable pattern, because the incentive is structural rather than fashionable. Any firm whose costs fall faster than its competitors' can either keep the hourly fee and watch revenue shrink, or price the outcome and keep the margin.</w:t>
      </w:r>
    </w:p>
    <w:p>
      <w:r>
        <w:rPr>
          <w:b w:val="0"/>
          <w:i w:val="0"/>
        </w:rPr>
        <w:t>The AEC reader feels this later than the consultant, because a stamped drawing carries liability that a slide deck does not, and liability slows repricing. Suffolk's move is the tell. Putting AI engineers on the jobsite to attack cost is the first half of the change. The second half, charging the client for the schedule saved rather than the hours worked, is the half almost no AEC firm has reached.</w:t>
      </w:r>
    </w:p>
    <w:p>
      <w:r>
        <w:rPr>
          <w:b/>
          <w:i w:val="0"/>
        </w:rPr>
        <w:t>[YOUR DETAIL HERE]</w:t>
      </w:r>
    </w:p>
    <w:p>
      <w:pPr>
        <w:pStyle w:val="Heading1"/>
      </w:pPr>
      <w:r>
        <w:t>The benefit case</w:t>
      </w:r>
    </w:p>
    <w:p>
      <w:r>
        <w:rPr>
          <w:b w:val="0"/>
          <w:i w:val="0"/>
        </w:rPr>
        <w:t>The firm that reprices first wins twice. It keeps the margin that AI creates instead of competing it away, and it changes what it sells from effort to results, which is what clients with their own AI now want to buy. McKinsey's quarter of fees is the proof that a serious firm can move a material share of revenue onto outcomes without breaking. A mid-size AEC firm that pilots a fixed price tied to a delivery milestone, on one project where it controls the schedule, can learn the muscle before the market forces it.</w:t>
      </w:r>
    </w:p>
    <w:p>
      <w:pPr>
        <w:pStyle w:val="Heading1"/>
      </w:pPr>
      <w:r>
        <w:t>The risk case</w:t>
      </w:r>
    </w:p>
    <w:p>
      <w:r>
        <w:rPr>
          <w:b w:val="0"/>
          <w:i w:val="0"/>
        </w:rPr>
        <w:t>Outcome pricing puts the firm's fee at risk for results it does not fully control, and engineers know better than anyone how much of an outcome rides on the client, the ground, and the regulator. A firm that prices the outcome on a project where a permit delay or a soil surprise can sink the result has sold insurance it never meant to write. The honest version of the benefit case is narrow. It works where the firm controls the variable it is paid on. Where it does not, the hour is still the safer unit. The Futurum number cuts both ways too, because 21.7% parity also means more than three quarters of buyers still do not buy this way. The shift is real and early, and a firm that bets its whole book on it this year is reading a trend as a finish line.</w:t>
      </w:r>
    </w:p>
    <w:p>
      <w:pPr>
        <w:pStyle w:val="Heading1"/>
      </w:pPr>
      <w:r>
        <w:t>The throughline</w:t>
      </w:r>
    </w:p>
    <w:p>
      <w:pPr>
        <w:pStyle w:val="IntenseQuote"/>
      </w:pPr>
      <w:r>
        <w:rPr>
          <w:b w:val="0"/>
          <w:i w:val="0"/>
        </w:rPr>
        <w:t>The price of a deliverable is detaching from the hours it took to make. The firm that prices the outcome keeps the gap. The firm that prices the hour gives it away.</w:t>
      </w:r>
    </w:p>
    <w:p>
      <w:pPr>
        <w:pStyle w:val="Heading1"/>
      </w:pPr>
      <w:r>
        <w:t>A prediction</w:t>
      </w:r>
    </w:p>
    <w:p>
      <w:pPr>
        <w:pStyle w:val="Quote"/>
      </w:pPr>
      <w:r>
        <w:rPr>
          <w:b/>
          <w:i w:val="0"/>
        </w:rPr>
        <w:t xml:space="preserve">Prediction (2026-06-20): </w:t>
      </w:r>
      <w:r>
        <w:rPr>
          <w:b w:val="0"/>
          <w:i w:val="0"/>
        </w:rPr>
        <w:t>By the end of 2027, at least one of the large global AEC consultancies (Arup, AECOM, Jacobs, WSP, Stantec) will publicly name an outcome- or milestone-based pricing program for AI-assisted delivery, following the path the management consultancies took first. Confidence: medium.</w:t>
      </w:r>
    </w:p>
    <w:p>
      <w:pPr>
        <w:pStyle w:val="Heading1"/>
      </w:pPr>
      <w:r>
        <w:t>What I am watching next</w:t>
      </w:r>
    </w:p>
    <w:p>
      <w:r>
        <w:rPr>
          <w:b w:val="0"/>
          <w:i w:val="0"/>
        </w:rPr>
        <w:t>The detail inside Accenture's June 18 results, for whether AI work shows up as billings rather than bookings, and the first AEC firm to move a real project onto outcome pricing rather than talk about it. The signal that would change my mind is a quarter or two of flat outcome-pricing adoption in the next Futurum survey, which would tell me this is a niche for the largest firms and not the broad repricing I think it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inance.yahoo.com/news/ai-reshaping-mckinsey-makes-money-195132745.html" TargetMode="External"/><Relationship Id="rId10" Type="http://schemas.openxmlformats.org/officeDocument/2006/relationships/hyperlink" Target="https://www.techtimes.com/articles/318408/20260615/accenture-earnings-june-18-three-metrics-now-determine-if-ai-consulting-real.htm" TargetMode="External"/><Relationship Id="rId11" Type="http://schemas.openxmlformats.org/officeDocument/2006/relationships/hyperlink" Target="https://www.constructiondive.com/news/suffolk-jobsite-of-the-future-ai-engineers/823162/" TargetMode="External"/><Relationship Id="rId12" Type="http://schemas.openxmlformats.org/officeDocument/2006/relationships/hyperlink" Target="https://aecmag.com/ai/neural-cad-ai-foundational-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