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AI Seats and the Utilization Problem</w:t>
      </w:r>
    </w:p>
    <w:p>
      <w:r>
        <w:t>Two years ago, 32 people at the law firm Ropes &amp; Gray sent a few hundred AI prompts a month. Today, close to 2,200 people at the same firm send more than 282,000 prompts a month, and each user is roughly three times as active as a year earlier (</w:t>
      </w:r>
      <w:hyperlink r:id="rId9">
        <w:r>
          <w:rPr>
            <w:color w:val="0563C1"/>
            <w:u w:val="single"/>
          </w:rPr>
          <w:t>Breitbart, citing Wall Street Journal reporting</w:t>
        </w:r>
      </w:hyperlink>
      <w:r>
        <w:t>). The growth did not come from a mandate. It came from a network of more than 60 internal champions who kept showing colleagues what the tool was actually good for.</w:t>
      </w:r>
    </w:p>
    <w:p>
      <w:pPr>
        <w:pStyle w:val="Heading1"/>
        <w:spacing w:before="280" w:after="80"/>
      </w:pPr>
      <w:r>
        <w:rPr>
          <w:rFonts w:ascii="Calibri" w:hAnsi="Calibri"/>
          <w:color w:val="1F3A5F"/>
          <w:sz w:val="30"/>
        </w:rPr>
        <w:t>The claim</w:t>
      </w:r>
    </w:p>
    <w:p>
      <w:r>
        <w:t>That curve raises a question every firm now has to answer for itself: whether a rising login or token count means the work got better, or just means more people are busy with the tool. David Maister asked a version of the same question about billable hours thirty years ago. His answer was that once utilization already covers its cost, more hours logged stop making a firm more profitable on their own, and the only lever left is the value each hour produces.</w:t>
      </w:r>
    </w:p>
    <w:p>
      <w:pPr>
        <w:pStyle w:val="Heading1"/>
        <w:spacing w:before="280" w:after="80"/>
      </w:pPr>
      <w:r>
        <w:rPr>
          <w:rFonts w:ascii="Calibri" w:hAnsi="Calibri"/>
          <w:color w:val="1F3A5F"/>
          <w:sz w:val="30"/>
        </w:rPr>
        <w:t>What the data actually shows</w:t>
      </w:r>
    </w:p>
    <w:p>
      <w:r>
        <w:t>Microsoft's 2026 Work Trend Index splits AI users into three groups rather than a single adoption number: about 19 percent are "Frontier" users with both strong personal skill and real organizational support, 31 percent are held back by unclaimed capacity or organizational blockers, and the remaining half sit in what the report calls an emergent zone, still finding their footing (</w:t>
      </w:r>
      <w:hyperlink r:id="rId10">
        <w:r>
          <w:rPr>
            <w:color w:val="0563C1"/>
            <w:u w:val="single"/>
          </w:rPr>
          <w:t>Microsoft WorkLab</w:t>
        </w:r>
      </w:hyperlink>
      <w:r>
        <w:t>). The same report finds that organizational factors, culture, manager support, and how work gets structured, account for more than twice the measured impact of individual effort alone.</w:t>
      </w:r>
    </w:p>
    <w:p>
      <w:r>
        <w:t>Ropes &amp; Gray's trajectory fits that pattern rather than contradicting it. Adoption there took two years and a champion network to move from a handful of curious early users to a firm wide daily habit. Nothing in that timeline suggests most firms are behind schedule. It suggests adoption compounds slowly and unevenly, mostly through people convincing other people rather than through a rollout announcement.</w:t>
      </w:r>
    </w:p>
    <w:p>
      <w:pPr>
        <w:pStyle w:val="Heading1"/>
        <w:spacing w:before="280" w:after="80"/>
      </w:pPr>
      <w:r>
        <w:rPr>
          <w:rFonts w:ascii="Calibri" w:hAnsi="Calibri"/>
          <w:color w:val="1F3A5F"/>
          <w:sz w:val="30"/>
        </w:rPr>
        <w:t>Why this is still worth watching</w:t>
      </w:r>
    </w:p>
    <w:p>
      <w:r>
        <w:t>Cross how often a seat gets used against whether anyone has checked its output against an outcome, and four situations fall out, none of them inherently a mistake.</w:t>
      </w:r>
    </w:p>
    <w:p>
      <w:pPr>
        <w:jc w:val="center"/>
      </w:pPr>
      <w:r>
        <w:drawing>
          <wp:inline xmlns:a="http://schemas.openxmlformats.org/drawingml/2006/main" xmlns:pic="http://schemas.openxmlformats.org/drawingml/2006/picture">
            <wp:extent cx="5669280" cy="3449142"/>
            <wp:docPr id="1" name="Picture 1"/>
            <wp:cNvGraphicFramePr>
              <a:graphicFrameLocks noChangeAspect="1"/>
            </wp:cNvGraphicFramePr>
            <a:graphic>
              <a:graphicData uri="http://schemas.openxmlformats.org/drawingml/2006/picture">
                <pic:pic>
                  <pic:nvPicPr>
                    <pic:cNvPr id="0" name="activation-value-matrix.png"/>
                    <pic:cNvPicPr/>
                  </pic:nvPicPr>
                  <pic:blipFill>
                    <a:blip r:embed="rId11"/>
                    <a:stretch>
                      <a:fillRect/>
                    </a:stretch>
                  </pic:blipFill>
                  <pic:spPr>
                    <a:xfrm>
                      <a:off x="0" y="0"/>
                      <a:ext cx="5669280" cy="3449142"/>
                    </a:xfrm>
                    <a:prstGeom prst="rect"/>
                  </pic:spPr>
                </pic:pic>
              </a:graphicData>
            </a:graphic>
          </wp:inline>
        </w:drawing>
      </w:r>
    </w:p>
    <w:p>
      <w:pPr>
        <w:jc w:val="center"/>
      </w:pPr>
      <w:r>
        <w:rPr>
          <w:i/>
          <w:sz w:val="18"/>
        </w:rPr>
        <w:t>Is AI seat usage tied to a checked outcome yet? A 2x2 matrix crossing how often a seat gets opened against whether its output has been checked against an outcome: early stage, efficient adopter, unverified volume, and verified value.</w:t>
      </w:r>
    </w:p>
    <w:p>
      <w:r>
        <w:t>Growth in usage and growth in measured value are two different curves, and most license dashboards only show one of them. [YOUR DETAIL HERE] Economist Charles Goodhart's 1975 observation about monetary policy applies here too: once a number becomes the target, it tends to stop measuring what it originally measured (</w:t>
      </w:r>
      <w:hyperlink r:id="rId12">
        <w:r>
          <w:rPr>
            <w:color w:val="0563C1"/>
            <w:u w:val="single"/>
          </w:rPr>
          <w:t>Goodhart's law</w:t>
        </w:r>
      </w:hyperlink>
      <w:r>
        <w:t>). A firm that only watches logins or token counts can end up optimizing for whichever behavior produces more logins or tokens, which is not automatically the same behavior that produces better work. That is a reason to add a second measurement, not a verdict on the firms that have not added it yet.</w:t>
      </w:r>
    </w:p>
    <w:p>
      <w:pPr>
        <w:pStyle w:val="Heading1"/>
        <w:spacing w:before="280" w:after="80"/>
      </w:pPr>
      <w:r>
        <w:rPr>
          <w:rFonts w:ascii="Calibri" w:hAnsi="Calibri"/>
          <w:color w:val="1F3A5F"/>
          <w:sz w:val="30"/>
        </w:rPr>
        <w:t>The benefit case</w:t>
      </w:r>
    </w:p>
    <w:p>
      <w:r>
        <w:t>A firm with a growth curve like Ropes &amp; Gray's has something concrete to study: which tasks its heaviest users gravitated toward, and what its internal champions were actually telling people. That is close to free research into what the tool is good for inside that specific firm, well ahead of a generic vendor claim.</w:t>
      </w:r>
    </w:p>
    <w:p>
      <w:pPr>
        <w:pStyle w:val="Heading1"/>
        <w:spacing w:before="280" w:after="80"/>
      </w:pPr>
      <w:r>
        <w:rPr>
          <w:rFonts w:ascii="Calibri" w:hAnsi="Calibri"/>
          <w:color w:val="1F3A5F"/>
          <w:sz w:val="30"/>
        </w:rPr>
        <w:t>The open question</w:t>
      </w:r>
    </w:p>
    <w:p>
      <w:r>
        <w:t>I hold this loosely. Most firms do not yet have a clean way to connect AI usage to project margin, error rate, or client outcome, and that is a fair place to be two years into a technology that is still changing quarter to quarter. Usage data is easy to produce because the billing system already generates it. Outcome data takes deliberate measurement on top of that. Microsoft's own finding, that organizational support matters more than individual effort, suggests the firms that add that measurement will see it pay off before the firms that only track logins do, not that the latter group did something wrong.</w:t>
      </w:r>
    </w:p>
    <w:p>
      <w:pPr>
        <w:pStyle w:val="Heading1"/>
        <w:spacing w:before="280" w:after="80"/>
      </w:pPr>
      <w:r>
        <w:rPr>
          <w:rFonts w:ascii="Calibri" w:hAnsi="Calibri"/>
          <w:color w:val="1F3A5F"/>
          <w:sz w:val="30"/>
        </w:rPr>
        <w:t>The throughline</w:t>
      </w:r>
    </w:p>
    <w:p>
      <w:pPr>
        <w:pStyle w:val="IntenseQuote"/>
      </w:pPr>
      <w:r>
        <w:t>A rising number of logins or tokens is a fact about activity, and a firm still has to check separately whether it is also a fact about better work.</w:t>
      </w:r>
    </w:p>
    <w:p>
      <w:pPr>
        <w:pStyle w:val="Heading1"/>
        <w:spacing w:before="280" w:after="80"/>
      </w:pPr>
      <w:r>
        <w:rPr>
          <w:rFonts w:ascii="Calibri" w:hAnsi="Calibri"/>
          <w:color w:val="1F3A5F"/>
          <w:sz w:val="30"/>
        </w:rPr>
        <w:t>A prediction</w:t>
      </w:r>
    </w:p>
    <w:p>
      <w:pPr>
        <w:pStyle w:val="IntenseQuote"/>
      </w:pPr>
      <w:r>
        <w:t>Prediction (2026-08-01): By the end of 2027, at least one major professional services or AEC firm will publicly report an AI usage metric tied to project margin or error rate, alongside its login or token numbers rather than instead of them. Confidence: medium.</w:t>
      </w:r>
    </w:p>
    <w:p>
      <w:pPr>
        <w:pStyle w:val="Heading1"/>
        <w:spacing w:before="280" w:after="80"/>
      </w:pPr>
      <w:r>
        <w:rPr>
          <w:rFonts w:ascii="Calibri" w:hAnsi="Calibri"/>
          <w:color w:val="1F3A5F"/>
          <w:sz w:val="30"/>
        </w:rPr>
        <w:t>What I am watching next</w:t>
      </w:r>
    </w:p>
    <w:p>
      <w:r>
        <w:t>Whether more firms publish a growth curve like Ropes &amp; Gray's, and whether any of them also publish what happened to a margin or error rate number over the same two years. Right now the usage story is easy to find. The value story almost never gets published alongside it, which may say more about measurement maturity than about effort.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eitbart.com/tech/2026/07/13/companies-turn-to-ai-champions-to-convince-fellow-employees-to-adopt-ai-tools/amp/" TargetMode="External"/><Relationship Id="rId10" Type="http://schemas.openxmlformats.org/officeDocument/2006/relationships/hyperlink" Target="https://www.microsoft.com/en-us/worklab/work-trend-index/agents-human-agency-and-the-opportunity-for-every-organization" TargetMode="External"/><Relationship Id="rId11" Type="http://schemas.openxmlformats.org/officeDocument/2006/relationships/image" Target="media/image1.png"/><Relationship Id="rId12" Type="http://schemas.openxmlformats.org/officeDocument/2006/relationships/hyperlink" Target="https://en.wikipedia.org/wiki/Goodhart%27s_la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