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Instituto Tecnológico Autónomo de México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 de Redes Convergentes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Compresión y expansión de señales con Ley μ y Ley A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Equipo: La Comunidad del Anillo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Francisco A. Calvillo López 167677</w:t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Lorena P. Barrera Rodríguez 164694</w:t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15 de septiembre,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Laboratorio de Redes Convergentes</w:t>
      </w:r>
    </w:p>
    <w:p w:rsidR="00000000" w:rsidDel="00000000" w:rsidP="00000000" w:rsidRDefault="00000000" w:rsidRPr="00000000" w14:paraId="00000012">
      <w:pPr>
        <w:pStyle w:val="Subtitle"/>
        <w:rPr/>
      </w:pPr>
      <w:r w:rsidDel="00000000" w:rsidR="00000000" w:rsidRPr="00000000">
        <w:rPr>
          <w:rtl w:val="0"/>
        </w:rPr>
        <w:t xml:space="preserve">Práctica 4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Compresión y expansión de señales con </w:t>
      </w:r>
      <w:r w:rsidDel="00000000" w:rsidR="00000000" w:rsidRPr="00000000">
        <w:rPr>
          <w:u w:val="single"/>
          <w:rtl w:val="0"/>
        </w:rPr>
        <w:t xml:space="preserve">Ley μ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Ley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1. Objetivo</w:t>
      </w:r>
    </w:p>
    <w:p w:rsidR="00000000" w:rsidDel="00000000" w:rsidP="00000000" w:rsidRDefault="00000000" w:rsidRPr="00000000" w14:paraId="00000015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1.1. Analizar y aplicar los modelos de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comp</w:t>
      </w:r>
      <w:r w:rsidDel="00000000" w:rsidR="00000000" w:rsidRPr="00000000">
        <w:rPr>
          <w:i w:val="1"/>
          <w:color w:val="000000"/>
          <w:rtl w:val="0"/>
        </w:rPr>
        <w:t xml:space="preserve">resión y exp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ansión</w:t>
      </w:r>
      <w:r w:rsidDel="00000000" w:rsidR="00000000" w:rsidRPr="00000000">
        <w:rPr>
          <w:i w:val="1"/>
          <w:color w:val="000000"/>
          <w:rtl w:val="0"/>
        </w:rPr>
        <w:t xml:space="preserve"> (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compansión</w:t>
      </w:r>
      <w:r w:rsidDel="00000000" w:rsidR="00000000" w:rsidRPr="00000000">
        <w:rPr>
          <w:i w:val="1"/>
          <w:color w:val="000000"/>
          <w:rtl w:val="0"/>
        </w:rPr>
        <w:t xml:space="preserve">) para voz utilizados en telefonía, llamados Ley A y Ley µ, empleando como cuantizador el algoritmo de PCM.</w:t>
      </w:r>
    </w:p>
    <w:p w:rsidR="00000000" w:rsidDel="00000000" w:rsidP="00000000" w:rsidRDefault="00000000" w:rsidRPr="00000000" w14:paraId="0000001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000000"/>
          <w:rtl w:val="0"/>
        </w:rPr>
        <w:t xml:space="preserve">2. Leyes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µ y A. 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 continuación, se presenta el modelo de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Ley µ </w:t>
      </w:r>
      <w:r w:rsidDel="00000000" w:rsidR="00000000" w:rsidRPr="00000000">
        <w:rPr>
          <w:i w:val="1"/>
          <w:color w:val="000000"/>
          <w:rtl w:val="0"/>
        </w:rPr>
        <w:t xml:space="preserve">(EUA, Japón, Australia) para la compresión de voz en telefonía:</w:t>
      </w:r>
      <w:r w:rsidDel="00000000" w:rsidR="00000000" w:rsidRPr="00000000">
        <w:rPr>
          <w:color w:val="000000"/>
          <w:rtl w:val="0"/>
        </w:rPr>
        <w:t xml:space="preserve"> donde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es la señal de entrada al compresor de voz y normalizada entre -1 y 1.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36.66666666666667"/>
          <w:szCs w:val="36.66666666666667"/>
          <w:vertAlign w:val="subscript"/>
        </w:rPr>
        <w:pict>
          <v:shape id="_x0000_i1025" style="width:234.8pt;height:32.8pt" o:ole="" type="#_x0000_t75">
            <v:imagedata r:id="rId1" o:title=""/>
          </v:shape>
          <o:OLEObject DrawAspect="Content" r:id="rId2" ObjectID="_1657996006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 el de descompresión: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36.66666666666667"/>
          <w:szCs w:val="36.66666666666667"/>
          <w:vertAlign w:val="subscript"/>
        </w:rPr>
        <w:pict>
          <v:shape id="_x0000_i1026" style="width:324.55pt;height:36pt" o:ole="" type="#_x0000_t75">
            <v:imagedata r:id="rId3" o:title=""/>
          </v:shape>
          <o:OLEObject DrawAspect="Content" r:id="rId4" ObjectID="_1657996007" ProgID="Equation.3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 continuación, se presenta el modelo de compresión de la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Ley A</w:t>
      </w:r>
      <w:r w:rsidDel="00000000" w:rsidR="00000000" w:rsidRPr="00000000">
        <w:rPr>
          <w:i w:val="1"/>
          <w:color w:val="000000"/>
          <w:rtl w:val="0"/>
        </w:rPr>
        <w:t xml:space="preserve"> (Europa):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6.66666666666667"/>
          <w:szCs w:val="36.66666666666667"/>
          <w:vertAlign w:val="subscript"/>
        </w:rPr>
        <w:drawing>
          <wp:inline distB="114300" distT="114300" distL="114300" distR="114300">
            <wp:extent cx="3748088" cy="1077990"/>
            <wp:effectExtent b="0" l="0" r="0" t="0"/>
            <wp:docPr id="3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07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 el de descompresión: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36.66666666666667"/>
          <w:szCs w:val="36.66666666666667"/>
          <w:vertAlign w:val="subscript"/>
        </w:rPr>
        <w:pict>
          <v:shape id="_x0000_i1029" style="width:187pt;height:30.65pt" o:ole="" type="#_x0000_t75">
            <v:imagedata r:id="rId9" o:title=""/>
          </v:shape>
          <o:OLEObject DrawAspect="Content" r:id="rId10" ObjectID="_1657996010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36.66666666666667"/>
          <w:szCs w:val="36.66666666666667"/>
          <w:vertAlign w:val="subscript"/>
        </w:rPr>
        <w:pict>
          <v:shape id="_x0000_i1030" style="width:228.9pt;height:30.65pt" o:ole="" type="#_x0000_t75">
            <v:imagedata r:id="rId11" o:title=""/>
          </v:shape>
          <o:OLEObject DrawAspect="Content" r:id="rId12" ObjectID="_1657996011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" w:firstLine="0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" w:firstLine="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donde: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432" w:firstLine="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F(z) = es la salida del compresor de voz,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432" w:firstLine="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</w:t>
      </w:r>
      <w:r w:rsidDel="00000000" w:rsidR="00000000" w:rsidRPr="00000000">
        <w:rPr>
          <w:i w:val="1"/>
          <w:color w:val="000000"/>
          <w:vertAlign w:val="superscript"/>
          <w:rtl w:val="0"/>
        </w:rPr>
        <w:t xml:space="preserve">-1</w:t>
      </w:r>
      <w:r w:rsidDel="00000000" w:rsidR="00000000" w:rsidRPr="00000000">
        <w:rPr>
          <w:i w:val="1"/>
          <w:color w:val="000000"/>
          <w:rtl w:val="0"/>
        </w:rPr>
        <w:t xml:space="preserve">(w) = es la salida del descompresor de voz,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432" w:firstLine="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sgn(z), sgn(w) = es el nivel de sobrecarga, diseñado para la cuantificación no lineal,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432" w:firstLine="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z = valor de entrada al compresor de voz.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432" w:firstLine="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 = valor de entrada al descompresor de voz.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432" w:firstLine="0"/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color w:val="000000"/>
          <w:rtl w:val="0"/>
        </w:rPr>
        <w:t xml:space="preserve">µ y A = son cantidades adimensionales para conformar las funciones de compresión y descompresión.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Estas funciones se plasman en las componentes </w:t>
      </w:r>
      <w:r w:rsidDel="00000000" w:rsidR="00000000" w:rsidRPr="00000000">
        <w:rPr>
          <w:i w:val="1"/>
          <w:color w:val="000000"/>
          <w:rtl w:val="0"/>
        </w:rPr>
        <w:t xml:space="preserve">compresor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i w:val="1"/>
          <w:color w:val="000000"/>
          <w:rtl w:val="0"/>
        </w:rPr>
        <w:t xml:space="preserve">expansor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878800" cy="151920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800" cy="15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Figura 1: Modulador y Demodulador de ComPanding con PCM.</w:t>
      </w:r>
    </w:p>
    <w:p w:rsidR="00000000" w:rsidDel="00000000" w:rsidP="00000000" w:rsidRDefault="00000000" w:rsidRPr="00000000" w14:paraId="00000033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3. Materiales y equipo</w:t>
      </w:r>
    </w:p>
    <w:p w:rsidR="00000000" w:rsidDel="00000000" w:rsidP="00000000" w:rsidRDefault="00000000" w:rsidRPr="00000000" w14:paraId="00000035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3.1. Una computadora con Matlab.</w:t>
      </w:r>
    </w:p>
    <w:p w:rsidR="00000000" w:rsidDel="00000000" w:rsidP="00000000" w:rsidRDefault="00000000" w:rsidRPr="00000000" w14:paraId="0000003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4. Desarrollo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4.1. Análisis de los modelos de companding (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comp</w:t>
      </w:r>
      <w:r w:rsidDel="00000000" w:rsidR="00000000" w:rsidRPr="00000000">
        <w:rPr>
          <w:i w:val="1"/>
          <w:color w:val="000000"/>
          <w:rtl w:val="0"/>
        </w:rPr>
        <w:t xml:space="preserve">ressing and exp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anding</w:t>
      </w:r>
      <w:r w:rsidDel="00000000" w:rsidR="00000000" w:rsidRPr="00000000">
        <w:rPr>
          <w:i w:val="1"/>
          <w:color w:val="000000"/>
          <w:rtl w:val="0"/>
        </w:rPr>
        <w:t xml:space="preserve">) para la </w:t>
      </w:r>
      <w:r w:rsidDel="00000000" w:rsidR="00000000" w:rsidRPr="00000000">
        <w:rPr>
          <w:color w:val="000000"/>
          <w:rtl w:val="0"/>
        </w:rPr>
        <w:t xml:space="preserve">Ley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μ</w:t>
      </w:r>
      <w:r w:rsidDel="00000000" w:rsidR="00000000" w:rsidRPr="00000000">
        <w:rPr>
          <w:color w:val="000000"/>
          <w:rtl w:val="0"/>
        </w:rPr>
        <w:t xml:space="preserve">, con cuantizador PCM, de acuerdo a la Figura1.</w:t>
      </w:r>
    </w:p>
    <w:p w:rsidR="00000000" w:rsidDel="00000000" w:rsidP="00000000" w:rsidRDefault="00000000" w:rsidRPr="00000000" w14:paraId="00000039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Calcule la compresión y descompresión con respecto a una señal de prueba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s(t)</w:t>
      </w:r>
      <w:r w:rsidDel="00000000" w:rsidR="00000000" w:rsidRPr="00000000">
        <w:rPr>
          <w:color w:val="000000"/>
          <w:rtl w:val="0"/>
        </w:rPr>
        <w:t xml:space="preserve">, aplicando el valor Ley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μ = </w:t>
      </w:r>
      <w:r w:rsidDel="00000000" w:rsidR="00000000" w:rsidRPr="00000000">
        <w:rPr>
          <w:color w:val="000000"/>
          <w:rtl w:val="0"/>
        </w:rPr>
        <w:t xml:space="preserve"> 255 y cuantizador PCM. Puede usar la programación realizada la clase pasada.</w:t>
      </w:r>
    </w:p>
    <w:p w:rsidR="00000000" w:rsidDel="00000000" w:rsidP="00000000" w:rsidRDefault="00000000" w:rsidRPr="00000000" w14:paraId="0000003A">
      <w:pPr>
        <w:ind w:left="43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función senoidal es:</w:t>
      </w:r>
    </w:p>
    <w:p w:rsidR="00000000" w:rsidDel="00000000" w:rsidP="00000000" w:rsidRDefault="00000000" w:rsidRPr="00000000" w14:paraId="0000003C">
      <w:pPr>
        <w:ind w:left="432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s(t)=4*sen(2*pi*f*t)+3*COS(3*pi*f*t)+2*SENO(4*pi*f*t)+1*COS(5*pi*f*t) 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frecuencia de la señal es f = 2 Hz, la frecuencia de muestreo = 400 Hz y el muestreo se hace por 2 segundos.</w:t>
      </w:r>
    </w:p>
    <w:p w:rsidR="00000000" w:rsidDel="00000000" w:rsidP="00000000" w:rsidRDefault="00000000" w:rsidRPr="00000000" w14:paraId="0000003E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deberá codificar a 8 bits y la duración total.</w:t>
      </w:r>
    </w:p>
    <w:p w:rsidR="00000000" w:rsidDel="00000000" w:rsidP="00000000" w:rsidRDefault="00000000" w:rsidRPr="00000000" w14:paraId="0000003F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Deberá comentar adecuadamente la programación en Matlab.</w:t>
      </w:r>
    </w:p>
    <w:p w:rsidR="00000000" w:rsidDel="00000000" w:rsidP="00000000" w:rsidRDefault="00000000" w:rsidRPr="00000000" w14:paraId="00000040">
      <w:pPr>
        <w:ind w:left="43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Paso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Calcule, genere y despliegue la señal senoidal.</w:t>
      </w:r>
    </w:p>
    <w:p w:rsidR="00000000" w:rsidDel="00000000" w:rsidP="00000000" w:rsidRDefault="00000000" w:rsidRPr="00000000" w14:paraId="00000043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función que ha venido usando tendrá que modificarla para que genere la nueva senoidal.</w:t>
      </w:r>
    </w:p>
    <w:p w:rsidR="00000000" w:rsidDel="00000000" w:rsidP="00000000" w:rsidRDefault="00000000" w:rsidRPr="00000000" w14:paraId="00000044">
      <w:pPr>
        <w:ind w:left="43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Paso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Lleve a cabo la funcionalidad del compresor.</w:t>
      </w:r>
    </w:p>
    <w:p w:rsidR="00000000" w:rsidDel="00000000" w:rsidP="00000000" w:rsidRDefault="00000000" w:rsidRPr="00000000" w14:paraId="00000047">
      <w:pPr>
        <w:ind w:left="432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Muestre una gráfica continua de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F(z)</w:t>
      </w:r>
      <w:r w:rsidDel="00000000" w:rsidR="00000000" w:rsidRPr="00000000">
        <w:rPr>
          <w:color w:val="000000"/>
          <w:rtl w:val="0"/>
        </w:rPr>
        <w:t xml:space="preserve"> vs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.  ¿Qué es lo que se muestra dicha gráfica?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980000"/>
          <w:rtl w:val="0"/>
        </w:rPr>
        <w:t xml:space="preserve">Es un contraste entre los valores que hay en F(z) y z,  es decir los valores de la señal original y la señal comprimida. El resultado nos indica que son diferentes, puesto que no se muestra la función x=y pero vemos que siguen un patrón claro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3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Paso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Lleve a cabo las fases: de la práctica pasada, del Encoder PCM, la transmisión digital y el Decoder PCM.</w:t>
      </w:r>
    </w:p>
    <w:p w:rsidR="00000000" w:rsidDel="00000000" w:rsidP="00000000" w:rsidRDefault="00000000" w:rsidRPr="00000000" w14:paraId="0000004C">
      <w:pPr>
        <w:ind w:left="43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Paso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Lleve a cabo la funcionalidad del expansor.</w:t>
      </w:r>
    </w:p>
    <w:p w:rsidR="00000000" w:rsidDel="00000000" w:rsidP="00000000" w:rsidRDefault="00000000" w:rsidRPr="00000000" w14:paraId="0000004F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Muestre en una gráfica continua de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 vs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</w:t>
      </w:r>
      <w:r w:rsidDel="00000000" w:rsidR="00000000" w:rsidRPr="00000000">
        <w:rPr>
          <w:b w:val="1"/>
          <w:i w:val="1"/>
          <w:color w:val="000000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i w:val="1"/>
          <w:color w:val="000000"/>
          <w:rtl w:val="0"/>
        </w:rPr>
        <w:t xml:space="preserve">(w)</w:t>
      </w:r>
      <w:r w:rsidDel="00000000" w:rsidR="00000000" w:rsidRPr="00000000">
        <w:rPr>
          <w:color w:val="000000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ind w:left="4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32" w:firstLine="0"/>
        <w:jc w:val="both"/>
        <w:rPr>
          <w:color w:val="980000"/>
        </w:rPr>
      </w:pPr>
      <w:r w:rsidDel="00000000" w:rsidR="00000000" w:rsidRPr="00000000">
        <w:rPr>
          <w:color w:val="000000"/>
          <w:rtl w:val="0"/>
        </w:rPr>
        <w:t xml:space="preserve">¿Qué es lo que se muestra dicha gráfica?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432" w:firstLine="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 ve de forma similar a la de  F(z) vs z pero con dimensiones diferentes al estar normalizada la señal ( -1&lt;w&lt;1) y diferente orientación pero el concepto es el mismo.</w:t>
      </w:r>
    </w:p>
    <w:p w:rsidR="00000000" w:rsidDel="00000000" w:rsidP="00000000" w:rsidRDefault="00000000" w:rsidRPr="00000000" w14:paraId="00000053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Paso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Muestre en una gráfica continua de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s(voice out)</w:t>
      </w:r>
      <w:r w:rsidDel="00000000" w:rsidR="00000000" w:rsidRPr="00000000">
        <w:rPr>
          <w:color w:val="000000"/>
          <w:rtl w:val="0"/>
        </w:rPr>
        <w:t xml:space="preserve"> vs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s(voice in)</w:t>
      </w:r>
      <w:r w:rsidDel="00000000" w:rsidR="00000000" w:rsidRPr="00000000">
        <w:rPr>
          <w:color w:val="000000"/>
          <w:rtl w:val="0"/>
        </w:rPr>
        <w:t xml:space="preserve">.  </w:t>
      </w:r>
    </w:p>
    <w:p w:rsidR="00000000" w:rsidDel="00000000" w:rsidP="00000000" w:rsidRDefault="00000000" w:rsidRPr="00000000" w14:paraId="00000055">
      <w:pPr>
        <w:ind w:left="4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32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¿Qué es lo que se muestra dicha gráfica?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432" w:firstLine="0"/>
        <w:jc w:val="both"/>
        <w:rPr/>
      </w:pPr>
      <w:r w:rsidDel="00000000" w:rsidR="00000000" w:rsidRPr="00000000">
        <w:rPr>
          <w:color w:val="980000"/>
          <w:rtl w:val="0"/>
        </w:rPr>
        <w:t xml:space="preserve">La relación que hay entre los valores de la señal original y la reconstruida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4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¿cómo debe aparecer la gráfica si el ComPanding se llevó a cabo? </w:t>
      </w:r>
    </w:p>
    <w:p w:rsidR="00000000" w:rsidDel="00000000" w:rsidP="00000000" w:rsidRDefault="00000000" w:rsidRPr="00000000" w14:paraId="0000005A">
      <w:pPr>
        <w:ind w:left="432" w:firstLine="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En este caso podemos ver que el resultado se acerca mucho a la función x = y, entonces, podemos concluir que la señal se ha reconstruido de una manera fiable a pesar de las ligeras distorsiones en los extremos.</w:t>
      </w:r>
    </w:p>
    <w:p w:rsidR="00000000" w:rsidDel="00000000" w:rsidP="00000000" w:rsidRDefault="00000000" w:rsidRPr="00000000" w14:paraId="0000005B">
      <w:pPr>
        <w:ind w:left="4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43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Reporte 4.1.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Reporte los pasos anteriores, incluyendo programación, gráficas, respuestas a preguntas, incluyendo algún comentario respecto de este modelo de ComPanding.</w:t>
      </w:r>
    </w:p>
    <w:p w:rsidR="00000000" w:rsidDel="00000000" w:rsidP="00000000" w:rsidRDefault="00000000" w:rsidRPr="00000000" w14:paraId="00000060">
      <w:pPr>
        <w:ind w:left="432" w:hanging="43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La señal senoidal conformada por la suma:</w:t>
      </w:r>
    </w:p>
    <w:p w:rsidR="00000000" w:rsidDel="00000000" w:rsidP="00000000" w:rsidRDefault="00000000" w:rsidRPr="00000000" w14:paraId="00000062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s(t) = 4 * sen(2 * pi * f * t) + 3 * COS(3 * pi * f * t) + 2 * SENO(4 * pi * f * t) + 1 * COS(5 * pi * f * t)</w:t>
      </w:r>
    </w:p>
    <w:p w:rsidR="00000000" w:rsidDel="00000000" w:rsidP="00000000" w:rsidRDefault="00000000" w:rsidRPr="00000000" w14:paraId="00000064">
      <w:pPr>
        <w:jc w:val="center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ve de la siguiente forma:</w:t>
      </w:r>
    </w:p>
    <w:p w:rsidR="00000000" w:rsidDel="00000000" w:rsidP="00000000" w:rsidRDefault="00000000" w:rsidRPr="00000000" w14:paraId="00000066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3600392"/>
            <wp:effectExtent b="0" l="0" r="0" t="0"/>
            <wp:docPr id="4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60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normalizó la señal para que quedara entre 1 y -1: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3614068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1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hizo la comparación entre la señal original y la normalizada:</w:t>
      </w:r>
    </w:p>
    <w:p w:rsidR="00000000" w:rsidDel="00000000" w:rsidP="00000000" w:rsidRDefault="00000000" w:rsidRPr="00000000" w14:paraId="0000006E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888" cy="3297415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29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muestreo la señal y se calculó su FFT:</w:t>
      </w:r>
    </w:p>
    <w:p w:rsidR="00000000" w:rsidDel="00000000" w:rsidP="00000000" w:rsidRDefault="00000000" w:rsidRPr="00000000" w14:paraId="00000072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1217" cy="3560862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217" cy="356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cuantizó la señal previamente comprimida:</w:t>
      </w:r>
    </w:p>
    <w:p w:rsidR="00000000" w:rsidDel="00000000" w:rsidP="00000000" w:rsidRDefault="00000000" w:rsidRPr="00000000" w14:paraId="00000076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3452813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generó un tren de pulsos con los datos obtenidos: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3344628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44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recuperó la señal comprimida original: 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192" cy="3452813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192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Posteriormente se descomprimió y comparó con la señal original: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2476" cy="3376092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476" cy="3376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y se regresó a su magnitud original: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4013" cy="3395663"/>
            <wp:effectExtent b="0" l="0" r="0" t="0"/>
            <wp:docPr id="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013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Finalmente se comparó la señal de salida con la de entrada para ver si sí son parecidas: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3463248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46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4.2. Análisis de los modelos de companding (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comp</w:t>
      </w:r>
      <w:r w:rsidDel="00000000" w:rsidR="00000000" w:rsidRPr="00000000">
        <w:rPr>
          <w:i w:val="1"/>
          <w:color w:val="000000"/>
          <w:rtl w:val="0"/>
        </w:rPr>
        <w:t xml:space="preserve">ressing and exp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anding</w:t>
      </w:r>
      <w:r w:rsidDel="00000000" w:rsidR="00000000" w:rsidRPr="00000000">
        <w:rPr>
          <w:i w:val="1"/>
          <w:color w:val="000000"/>
          <w:rtl w:val="0"/>
        </w:rPr>
        <w:t xml:space="preserve">) para la </w:t>
      </w:r>
      <w:r w:rsidDel="00000000" w:rsidR="00000000" w:rsidRPr="00000000">
        <w:rPr>
          <w:color w:val="000000"/>
          <w:rtl w:val="0"/>
        </w:rPr>
        <w:t xml:space="preserve">Ley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Α</w:t>
      </w:r>
      <w:r w:rsidDel="00000000" w:rsidR="00000000" w:rsidRPr="00000000">
        <w:rPr>
          <w:color w:val="000000"/>
          <w:rtl w:val="0"/>
        </w:rPr>
        <w:t xml:space="preserve">, con cuantizador PCM, de acuerdo a la Figura1.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Calcule la compresión y descompresión con respecto a una señal de prueba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s(t)</w:t>
      </w:r>
      <w:r w:rsidDel="00000000" w:rsidR="00000000" w:rsidRPr="00000000">
        <w:rPr>
          <w:color w:val="000000"/>
          <w:rtl w:val="0"/>
        </w:rPr>
        <w:t xml:space="preserve">, aplicando el valor Ley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Α = </w:t>
      </w:r>
      <w:r w:rsidDel="00000000" w:rsidR="00000000" w:rsidRPr="00000000">
        <w:rPr>
          <w:color w:val="000000"/>
          <w:rtl w:val="0"/>
        </w:rPr>
        <w:t xml:space="preserve"> 255 y cuantizador PCM. Puede usar la programación realizada la clase pasada.</w:t>
      </w:r>
    </w:p>
    <w:p w:rsidR="00000000" w:rsidDel="00000000" w:rsidP="00000000" w:rsidRDefault="00000000" w:rsidRPr="00000000" w14:paraId="0000008E">
      <w:pPr>
        <w:ind w:left="432" w:firstLine="0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Analice sólo el caso para </w:t>
      </w:r>
    </w:p>
    <w:p w:rsidR="00000000" w:rsidDel="00000000" w:rsidP="00000000" w:rsidRDefault="00000000" w:rsidRPr="00000000" w14:paraId="00000090">
      <w:pPr>
        <w:jc w:val="center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36.66666666666667"/>
          <w:szCs w:val="36.66666666666667"/>
          <w:vertAlign w:val="subscript"/>
        </w:rPr>
        <w:pict>
          <v:shape id="_x0000_i1031" style="width:68.25pt;height:30.65pt" o:ole="" type="#_x0000_t75">
            <v:imagedata r:id="rId13" o:title=""/>
          </v:shape>
          <o:OLEObject DrawAspect="Content" r:id="rId14" ObjectID="_1657996012" ProgID="Equation.3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Reporte 4.2.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Repita la funcionalidad de los pasos de la sección anterior, ahora para la Ley A, incluyendo programación, gráficas, respuestas a preguntas, incluyendo algún comentario respecto de este modelo de ComPanding.</w:t>
      </w:r>
    </w:p>
    <w:p w:rsidR="00000000" w:rsidDel="00000000" w:rsidP="00000000" w:rsidRDefault="00000000" w:rsidRPr="00000000" w14:paraId="0000009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La señal senoidal conformada por la suma:</w:t>
      </w:r>
    </w:p>
    <w:p w:rsidR="00000000" w:rsidDel="00000000" w:rsidP="00000000" w:rsidRDefault="00000000" w:rsidRPr="00000000" w14:paraId="0000009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s(t) = 4 * sen(2 * pi * f * t) + 3 * COS(3 * pi * f * t) + 2 * SENO(4 * pi * f * t) + 1 * COS(5 * pi * f * t)</w:t>
      </w:r>
    </w:p>
    <w:p w:rsidR="00000000" w:rsidDel="00000000" w:rsidP="00000000" w:rsidRDefault="00000000" w:rsidRPr="00000000" w14:paraId="00000098">
      <w:pPr>
        <w:jc w:val="center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ve de la siguiente forma:</w:t>
      </w:r>
    </w:p>
    <w:p w:rsidR="00000000" w:rsidDel="00000000" w:rsidP="00000000" w:rsidRDefault="00000000" w:rsidRPr="00000000" w14:paraId="0000009A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382905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normalizó la señal para que quedara entre 1 y -1: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3800475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hizo la comparación entre la señal original y la normalizada:</w:t>
      </w:r>
    </w:p>
    <w:p w:rsidR="00000000" w:rsidDel="00000000" w:rsidP="00000000" w:rsidRDefault="00000000" w:rsidRPr="00000000" w14:paraId="000000A2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3743325"/>
            <wp:effectExtent b="0" l="0" r="0" t="0"/>
            <wp:docPr id="4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muestreo la señal y se calculó su FFT:</w:t>
      </w:r>
    </w:p>
    <w:p w:rsidR="00000000" w:rsidDel="00000000" w:rsidP="00000000" w:rsidRDefault="00000000" w:rsidRPr="00000000" w14:paraId="000000A6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3781425"/>
            <wp:effectExtent b="0" l="0" r="0" t="0"/>
            <wp:docPr id="4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cuantizó la señal previamente comprimida:</w:t>
      </w:r>
    </w:p>
    <w:p w:rsidR="00000000" w:rsidDel="00000000" w:rsidP="00000000" w:rsidRDefault="00000000" w:rsidRPr="00000000" w14:paraId="000000AA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3790950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generó un tren de pulsos con los datos obtenidos: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81000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 recuperó la señal comprimida original: </w:t>
      </w:r>
    </w:p>
    <w:p w:rsidR="00000000" w:rsidDel="00000000" w:rsidP="00000000" w:rsidRDefault="00000000" w:rsidRPr="00000000" w14:paraId="000000B2">
      <w:pPr>
        <w:jc w:val="both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3724275"/>
            <wp:effectExtent b="0" l="0" r="0" t="0"/>
            <wp:docPr id="4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Posteriormente se descomprimió y comparó con la señal original: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3800475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y se regresó a su magnitud original: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380047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Finalmente se comparó la señal de salida con la de entrada para ver si sí son parecidas: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3829050"/>
            <wp:effectExtent b="0" l="0" r="0" t="0"/>
            <wp:docPr id="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432" w:hanging="432"/>
        <w:jc w:val="both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Reporte 4.3.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43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Reporte un análisis comparativo de las dos leyes de ComPanding de acuerdo a lo visto en esta práctica </w:t>
      </w:r>
    </w:p>
    <w:p w:rsidR="00000000" w:rsidDel="00000000" w:rsidP="00000000" w:rsidRDefault="00000000" w:rsidRPr="00000000" w14:paraId="000000C5">
      <w:pPr>
        <w:ind w:left="432" w:firstLine="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Ambas funcionan de manera similar, con resultados muy parecidos, en el caso de la Ley A la matemática utilizada es más compleja y esto ayuda a que se pueda reconstruir mejor la señal, esto se nota de mejor manera al comparar las figuras 8 de cada una; en estas podemos observar claramente que la producida por la Ley A tiene una función x= y sin degradarse.</w:t>
      </w:r>
    </w:p>
    <w:p w:rsidR="00000000" w:rsidDel="00000000" w:rsidP="00000000" w:rsidRDefault="00000000" w:rsidRPr="00000000" w14:paraId="000000C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headerReference r:id="rId41" w:type="even"/>
      <w:footerReference r:id="rId42" w:type="default"/>
      <w:footerReference r:id="rId43" w:type="first"/>
      <w:footerReference r:id="rId44" w:type="even"/>
      <w:pgSz w:h="15840" w:w="12240"/>
      <w:pgMar w:bottom="1440" w:top="1440" w:left="567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Prac04LabReConv.docx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03/08/2020</w:t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ITAM.DAI                            Lab. de Redes Convergentes</w:t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114300" distR="114300">
          <wp:extent cx="3594755" cy="1362075"/>
          <wp:effectExtent b="0" l="0" r="0" t="0"/>
          <wp:docPr descr="ITAM - Dirección Escolar" id="38" name="image16.png"/>
          <a:graphic>
            <a:graphicData uri="http://schemas.openxmlformats.org/drawingml/2006/picture">
              <pic:pic>
                <pic:nvPicPr>
                  <pic:cNvPr descr="ITAM - Dirección Escolar" id="0" name="image16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4755" cy="1362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color w:val="000000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autoSpaceDE w:val="0"/>
      <w:autoSpaceDN w:val="0"/>
      <w:adjustRightInd w:val="0"/>
      <w:jc w:val="center"/>
      <w:outlineLvl w:val="0"/>
    </w:pPr>
    <w:rPr>
      <w:b w:val="1"/>
      <w:bCs w:val="1"/>
      <w:i w:val="1"/>
      <w:iCs w:val="1"/>
      <w:color w:val="000000"/>
      <w:sz w:val="28"/>
      <w:szCs w:val="23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pPr>
      <w:autoSpaceDE w:val="0"/>
      <w:autoSpaceDN w:val="0"/>
      <w:adjustRightInd w:val="0"/>
      <w:jc w:val="center"/>
    </w:pPr>
    <w:rPr>
      <w:b w:val="1"/>
      <w:bCs w:val="1"/>
      <w:i w:val="1"/>
      <w:iCs w:val="1"/>
      <w:color w:val="000000"/>
      <w:szCs w:val="23"/>
    </w:rPr>
  </w:style>
  <w:style w:type="paragraph" w:styleId="Textoindependiente">
    <w:name w:val="Body Text"/>
    <w:basedOn w:val="Normal"/>
    <w:pPr>
      <w:autoSpaceDE w:val="0"/>
      <w:autoSpaceDN w:val="0"/>
      <w:adjustRightInd w:val="0"/>
      <w:jc w:val="both"/>
    </w:pPr>
    <w:rPr>
      <w:color w:val="000000"/>
      <w:szCs w:val="23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qFormat w:val="1"/>
    <w:pPr>
      <w:autoSpaceDE w:val="0"/>
      <w:autoSpaceDN w:val="0"/>
      <w:adjustRightInd w:val="0"/>
      <w:jc w:val="center"/>
    </w:pPr>
    <w:rPr>
      <w:b w:val="1"/>
      <w:bCs w:val="1"/>
      <w:i w:val="1"/>
      <w:iCs w:val="1"/>
      <w:color w:val="000000"/>
      <w:sz w:val="28"/>
      <w:szCs w:val="23"/>
    </w:rPr>
  </w:style>
  <w:style w:type="paragraph" w:styleId="Textoindependiente2">
    <w:name w:val="Body Text 2"/>
    <w:basedOn w:val="Normal"/>
    <w:pPr>
      <w:autoSpaceDE w:val="0"/>
      <w:autoSpaceDN w:val="0"/>
      <w:adjustRightInd w:val="0"/>
    </w:pPr>
    <w:rPr>
      <w:rFonts w:ascii="Courier New" w:cs="Courier New" w:hAnsi="Courier New"/>
      <w:color w:val="000000"/>
      <w:szCs w:val="23"/>
    </w:rPr>
  </w:style>
  <w:style w:type="paragraph" w:styleId="Textodeglobo">
    <w:name w:val="Balloon Text"/>
    <w:basedOn w:val="Normal"/>
    <w:link w:val="TextodegloboCar"/>
    <w:rsid w:val="00E7533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E7533A"/>
    <w:rPr>
      <w:rFonts w:ascii="Tahoma" w:cs="Tahoma" w:hAnsi="Tahoma"/>
      <w:sz w:val="16"/>
      <w:szCs w:val="16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E276E4"/>
    <w:pPr>
      <w:spacing w:after="100" w:afterAutospacing="1" w:before="100" w:beforeAutospacing="1"/>
    </w:pPr>
    <w:rPr>
      <w:lang w:eastAsia="es-MX" w:val="es-MX"/>
    </w:rPr>
  </w:style>
  <w:style w:type="paragraph" w:styleId="Subtitle">
    <w:name w:val="Subtitle"/>
    <w:basedOn w:val="Normal"/>
    <w:next w:val="Normal"/>
    <w:pPr>
      <w:jc w:val="center"/>
    </w:pPr>
    <w:rPr>
      <w:b w:val="1"/>
      <w:i w:val="1"/>
      <w:color w:val="0000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3.xml"/><Relationship Id="rId20" Type="http://schemas.openxmlformats.org/officeDocument/2006/relationships/image" Target="media/image14.png"/><Relationship Id="rId42" Type="http://schemas.openxmlformats.org/officeDocument/2006/relationships/footer" Target="footer3.xml"/><Relationship Id="rId41" Type="http://schemas.openxmlformats.org/officeDocument/2006/relationships/header" Target="header2.xml"/><Relationship Id="rId22" Type="http://schemas.openxmlformats.org/officeDocument/2006/relationships/image" Target="media/image8.png"/><Relationship Id="rId44" Type="http://schemas.openxmlformats.org/officeDocument/2006/relationships/footer" Target="footer1.xml"/><Relationship Id="rId21" Type="http://schemas.openxmlformats.org/officeDocument/2006/relationships/image" Target="media/image7.png"/><Relationship Id="rId43" Type="http://schemas.openxmlformats.org/officeDocument/2006/relationships/footer" Target="footer2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wmf"/><Relationship Id="rId4" Type="http://schemas.openxmlformats.org/officeDocument/2006/relationships/oleObject" Target="embeddings/oleObject2.bin"/><Relationship Id="rId9" Type="http://schemas.openxmlformats.org/officeDocument/2006/relationships/image" Target="media/image3.wmf"/><Relationship Id="rId26" Type="http://schemas.openxmlformats.org/officeDocument/2006/relationships/image" Target="media/image6.png"/><Relationship Id="rId25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23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18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22.png"/><Relationship Id="rId30" Type="http://schemas.openxmlformats.org/officeDocument/2006/relationships/image" Target="media/image26.png"/><Relationship Id="rId11" Type="http://schemas.openxmlformats.org/officeDocument/2006/relationships/image" Target="media/image4.wmf"/><Relationship Id="rId33" Type="http://schemas.openxmlformats.org/officeDocument/2006/relationships/image" Target="media/image17.png"/><Relationship Id="rId10" Type="http://schemas.openxmlformats.org/officeDocument/2006/relationships/oleObject" Target="embeddings/oleObject3.bin"/><Relationship Id="rId32" Type="http://schemas.openxmlformats.org/officeDocument/2006/relationships/image" Target="media/image28.png"/><Relationship Id="rId13" Type="http://schemas.openxmlformats.org/officeDocument/2006/relationships/image" Target="media/image5.wmf"/><Relationship Id="rId35" Type="http://schemas.openxmlformats.org/officeDocument/2006/relationships/image" Target="media/image21.png"/><Relationship Id="rId12" Type="http://schemas.openxmlformats.org/officeDocument/2006/relationships/oleObject" Target="embeddings/oleObject4.bin"/><Relationship Id="rId34" Type="http://schemas.openxmlformats.org/officeDocument/2006/relationships/image" Target="media/image19.png"/><Relationship Id="rId15" Type="http://schemas.openxmlformats.org/officeDocument/2006/relationships/styles" Target="styles.xml"/><Relationship Id="rId37" Type="http://schemas.openxmlformats.org/officeDocument/2006/relationships/image" Target="media/image27.png"/><Relationship Id="rId14" Type="http://schemas.openxmlformats.org/officeDocument/2006/relationships/oleObject" Target="embeddings/oleObject5.bin"/><Relationship Id="rId36" Type="http://schemas.openxmlformats.org/officeDocument/2006/relationships/image" Target="media/image20.png"/><Relationship Id="rId17" Type="http://schemas.openxmlformats.org/officeDocument/2006/relationships/image" Target="media/image25.png"/><Relationship Id="rId39" Type="http://schemas.openxmlformats.org/officeDocument/2006/relationships/header" Target="header1.xml"/><Relationship Id="rId16" Type="http://schemas.openxmlformats.org/officeDocument/2006/relationships/customXml" Target="../customXML/item1.xml"/><Relationship Id="rId38" Type="http://schemas.openxmlformats.org/officeDocument/2006/relationships/image" Target="media/image24.png"/><Relationship Id="rId19" Type="http://schemas.openxmlformats.org/officeDocument/2006/relationships/image" Target="media/image15.png"/><Relationship Id="rId18" Type="http://schemas.openxmlformats.org/officeDocument/2006/relationships/image" Target="media/image11.png"/></Relationships>
</file>

<file path=word/_rels/header3.xml.rels><?xml version="1.0" encoding="UTF-8" standalone="yes"?><Relationships xmlns="http://schemas.openxmlformats.org/package/2006/relationships"><Relationship Id="rId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4QqXX8f9whpLXlkzftRiENAorA==">AMUW2mWS3Zt6P6UrG7KHNyqzhFb/DEAcFVSEPYqu++W7W7Y8zz8UIQv7yG2fDK4p52VudHGWQzeyaJKL4q74xHW+Du4W/mxns/qNB0xqD7ZskFtATzzzWZ322qzPWAgfPjyaopExSBE2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2015-09-24T23:34:00Z</dcterms:created>
  <dc:creator>ITAM.DAI.DAC</dc:creator>
</cp:coreProperties>
</file>