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v5 ancestry pipeline steps 1 to 7</w:t>
      </w:r>
    </w:p>
    <w:p>
      <w:pPr>
        <w:pStyle w:val="Subtitle"/>
      </w:pPr>
      <w:r>
        <w:t>One model and one workflow folder</w:t>
        <w:br/>
        <w:t>2,003 training people and 501 test people</w:t>
      </w:r>
    </w:p>
    <w:p>
      <w:r>
        <w:rPr>
          <w:sz w:val="19"/>
        </w:rPr>
        <w:t>Updated 28 October 2026 | Code package version 1.0.1</w:t>
      </w:r>
    </w:p>
    <w:p>
      <w:r>
        <w:t>This workflow rebuilds one ancestry classifier using 1000 Genomes genotypes at 23andMe v5 positions. A SNP is a DNA location where people can carry different letters. The workflow prepares genotypes, selects SNPs using training people, fits and tests one model, and exports it for cloud or browser predictions.</w:t>
      </w:r>
    </w:p>
    <w:p>
      <w:r>
        <w:t>Every SNP follows the same matching, quality, and LD-pruning rules. The earlier VISAGE lists, preferences, and exclusions have been removed. Keep all 2,003 training people and all 501 reference test people.</w:t>
      </w:r>
    </w:p>
    <w:p>
      <w:hyperlink r:id="rId10">
        <w:r>
          <w:rPr>
            <w:color w:val="165A8D"/>
            <w:u w:val="single"/>
          </w:rPr>
          <w:t>Companion Observable ancestry inference notebook</w:t>
        </w:r>
      </w:hyperlink>
    </w:p>
    <w:p>
      <w:pPr>
        <w:pStyle w:val="Heading2"/>
      </w:pPr>
      <w:r>
        <w:t>The seven steps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48"/>
        <w:gridCol w:w="5184"/>
        <w:gridCol w:w="4248"/>
      </w:tblGrid>
      <w:tr>
        <w:trPr>
          <w:tblHeader/>
          <w:cantSplit/>
        </w:trPr>
        <w:tc>
          <w:tcPr>
            <w:tcW w:type="dxa" w:w="648"/>
            <w:vAlign w:val="center"/>
            <w:tcMar>
              <w:top w:w="90" w:type="dxa"/>
              <w:bottom w:w="90" w:type="dxa"/>
              <w:left w:w="110" w:type="dxa"/>
              <w:right w:w="110" w:type="dxa"/>
            </w:tcMar>
            <w:shd w:fill="E6EEF5"/>
          </w:tcPr>
          <w:p>
            <w:pPr>
              <w:spacing w:after="40" w:before="20" w:line="250" w:lineRule="auto"/>
              <w:jc w:val="center"/>
            </w:pPr>
            <w:r>
              <w:rPr>
                <w:rFonts w:ascii="Calibri" w:hAnsi="Calibri"/>
                <w:b/>
                <w:color w:val="000000"/>
                <w:sz w:val="20"/>
              </w:rPr>
              <w:t>Step</w:t>
            </w:r>
          </w:p>
        </w:tc>
        <w:tc>
          <w:tcPr>
            <w:tcW w:type="dxa" w:w="5184"/>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Action</w:t>
            </w:r>
          </w:p>
        </w:tc>
        <w:tc>
          <w:tcPr>
            <w:tcW w:type="dxa" w:w="4248"/>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Main output</w:t>
            </w:r>
          </w:p>
        </w:tc>
      </w:tr>
      <w:tr>
        <w:trPr>
          <w:cantSplit/>
        </w:trPr>
        <w:tc>
          <w:tcPr>
            <w:tcW w:type="dxa" w:w="648"/>
            <w:vAlign w:val="center"/>
            <w:tcMar>
              <w:top w:w="90" w:type="dxa"/>
              <w:bottom w:w="90" w:type="dxa"/>
              <w:left w:w="110" w:type="dxa"/>
              <w:right w:w="110" w:type="dxa"/>
            </w:tcMar>
            <w:shd w:fill="FFFFFF"/>
          </w:tcPr>
          <w:p>
            <w:pPr>
              <w:spacing w:after="40" w:before="20" w:line="250" w:lineRule="auto"/>
              <w:jc w:val="center"/>
            </w:pPr>
            <w:r>
              <w:rPr>
                <w:rFonts w:ascii="Calibri" w:hAnsi="Calibri"/>
                <w:color w:val="000000"/>
                <w:sz w:val="20"/>
              </w:rPr>
              <w:t>1</w:t>
            </w:r>
          </w:p>
        </w:tc>
        <w:tc>
          <w:tcPr>
            <w:tcW w:type="dxa" w:w="518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Prepare reference genotypes at v5 positions</w:t>
            </w:r>
          </w:p>
        </w:tc>
        <w:tc>
          <w:tcPr>
            <w:tcW w:type="dxa" w:w="4248"/>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Shared chromosome genotype files</w:t>
            </w:r>
          </w:p>
        </w:tc>
      </w:tr>
      <w:tr>
        <w:trPr>
          <w:cantSplit/>
        </w:trPr>
        <w:tc>
          <w:tcPr>
            <w:tcW w:type="dxa" w:w="648"/>
            <w:vAlign w:val="center"/>
            <w:tcMar>
              <w:top w:w="90" w:type="dxa"/>
              <w:bottom w:w="90" w:type="dxa"/>
              <w:left w:w="110" w:type="dxa"/>
              <w:right w:w="110" w:type="dxa"/>
            </w:tcMar>
            <w:shd w:fill="F7F8FA"/>
          </w:tcPr>
          <w:p>
            <w:pPr>
              <w:spacing w:after="40" w:before="20" w:line="250" w:lineRule="auto"/>
              <w:jc w:val="center"/>
            </w:pPr>
            <w:r>
              <w:rPr>
                <w:rFonts w:ascii="Calibri" w:hAnsi="Calibri"/>
                <w:color w:val="000000"/>
                <w:sz w:val="20"/>
              </w:rPr>
              <w:t>2</w:t>
            </w:r>
          </w:p>
        </w:tc>
        <w:tc>
          <w:tcPr>
            <w:tcW w:type="dxa" w:w="518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Verify the original 2,003 and 501 sample lists</w:t>
            </w:r>
          </w:p>
        </w:tc>
        <w:tc>
          <w:tcPr>
            <w:tcW w:type="dxa" w:w="4248"/>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Validated sample IDs</w:t>
            </w:r>
          </w:p>
        </w:tc>
      </w:tr>
      <w:tr>
        <w:trPr>
          <w:cantSplit/>
        </w:trPr>
        <w:tc>
          <w:tcPr>
            <w:tcW w:type="dxa" w:w="648"/>
            <w:vAlign w:val="center"/>
            <w:tcMar>
              <w:top w:w="90" w:type="dxa"/>
              <w:bottom w:w="90" w:type="dxa"/>
              <w:left w:w="110" w:type="dxa"/>
              <w:right w:w="110" w:type="dxa"/>
            </w:tcMar>
            <w:shd w:fill="FFFFFF"/>
          </w:tcPr>
          <w:p>
            <w:pPr>
              <w:spacing w:after="40" w:before="20" w:line="250" w:lineRule="auto"/>
              <w:jc w:val="center"/>
            </w:pPr>
            <w:r>
              <w:rPr>
                <w:rFonts w:ascii="Calibri" w:hAnsi="Calibri"/>
                <w:color w:val="000000"/>
                <w:sz w:val="20"/>
              </w:rPr>
              <w:t>3</w:t>
            </w:r>
          </w:p>
        </w:tc>
        <w:tc>
          <w:tcPr>
            <w:tcW w:type="dxa" w:w="518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Audit populations and known relatives</w:t>
            </w:r>
          </w:p>
        </w:tc>
        <w:tc>
          <w:tcPr>
            <w:tcW w:type="dxa" w:w="4248"/>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Counts and cross-validation groups</w:t>
            </w:r>
          </w:p>
        </w:tc>
      </w:tr>
      <w:tr>
        <w:trPr>
          <w:cantSplit/>
        </w:trPr>
        <w:tc>
          <w:tcPr>
            <w:tcW w:type="dxa" w:w="648"/>
            <w:vAlign w:val="center"/>
            <w:tcMar>
              <w:top w:w="90" w:type="dxa"/>
              <w:bottom w:w="90" w:type="dxa"/>
              <w:left w:w="110" w:type="dxa"/>
              <w:right w:w="110" w:type="dxa"/>
            </w:tcMar>
            <w:shd w:fill="F7F8FA"/>
          </w:tcPr>
          <w:p>
            <w:pPr>
              <w:spacing w:after="40" w:before="20" w:line="250" w:lineRule="auto"/>
              <w:jc w:val="center"/>
            </w:pPr>
            <w:r>
              <w:rPr>
                <w:rFonts w:ascii="Calibri" w:hAnsi="Calibri"/>
                <w:color w:val="000000"/>
                <w:sz w:val="20"/>
              </w:rPr>
              <w:t>4</w:t>
            </w:r>
          </w:p>
        </w:tc>
        <w:tc>
          <w:tcPr>
            <w:tcW w:type="dxa" w:w="518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Run training-only SNP QC and LD pruning</w:t>
            </w:r>
          </w:p>
        </w:tc>
        <w:tc>
          <w:tcPr>
            <w:tcW w:type="dxa" w:w="4248"/>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One selected marker list</w:t>
            </w:r>
          </w:p>
        </w:tc>
      </w:tr>
      <w:tr>
        <w:trPr>
          <w:cantSplit/>
        </w:trPr>
        <w:tc>
          <w:tcPr>
            <w:tcW w:type="dxa" w:w="648"/>
            <w:vAlign w:val="center"/>
            <w:tcMar>
              <w:top w:w="90" w:type="dxa"/>
              <w:bottom w:w="90" w:type="dxa"/>
              <w:left w:w="110" w:type="dxa"/>
              <w:right w:w="110" w:type="dxa"/>
            </w:tcMar>
            <w:shd w:fill="FFFFFF"/>
          </w:tcPr>
          <w:p>
            <w:pPr>
              <w:spacing w:after="40" w:before="20" w:line="250" w:lineRule="auto"/>
              <w:jc w:val="center"/>
            </w:pPr>
            <w:r>
              <w:rPr>
                <w:rFonts w:ascii="Calibri" w:hAnsi="Calibri"/>
                <w:color w:val="000000"/>
                <w:sz w:val="20"/>
              </w:rPr>
              <w:t>5</w:t>
            </w:r>
          </w:p>
        </w:tc>
        <w:tc>
          <w:tcPr>
            <w:tcW w:type="dxa" w:w="518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Choose settings and fit one classifier</w:t>
            </w:r>
          </w:p>
        </w:tc>
        <w:tc>
          <w:tcPr>
            <w:tcW w:type="dxa" w:w="4248"/>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Saved Python pipeline</w:t>
            </w:r>
          </w:p>
        </w:tc>
      </w:tr>
      <w:tr>
        <w:trPr>
          <w:cantSplit/>
        </w:trPr>
        <w:tc>
          <w:tcPr>
            <w:tcW w:type="dxa" w:w="648"/>
            <w:vAlign w:val="center"/>
            <w:tcMar>
              <w:top w:w="90" w:type="dxa"/>
              <w:bottom w:w="90" w:type="dxa"/>
              <w:left w:w="110" w:type="dxa"/>
              <w:right w:w="110" w:type="dxa"/>
            </w:tcMar>
            <w:shd w:fill="F7F8FA"/>
          </w:tcPr>
          <w:p>
            <w:pPr>
              <w:spacing w:after="40" w:before="20" w:line="250" w:lineRule="auto"/>
              <w:jc w:val="center"/>
            </w:pPr>
            <w:r>
              <w:rPr>
                <w:rFonts w:ascii="Calibri" w:hAnsi="Calibri"/>
                <w:color w:val="000000"/>
                <w:sz w:val="20"/>
              </w:rPr>
              <w:t>6</w:t>
            </w:r>
          </w:p>
        </w:tc>
        <w:tc>
          <w:tcPr>
            <w:tcW w:type="dxa" w:w="518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Test on 501 people and verify the ONNX export</w:t>
            </w:r>
          </w:p>
        </w:tc>
        <w:tc>
          <w:tcPr>
            <w:tcW w:type="dxa" w:w="4248"/>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Accuracy reports and ONNX assets</w:t>
            </w:r>
          </w:p>
        </w:tc>
      </w:tr>
      <w:tr>
        <w:trPr>
          <w:cantSplit/>
        </w:trPr>
        <w:tc>
          <w:tcPr>
            <w:tcW w:type="dxa" w:w="648"/>
            <w:vAlign w:val="center"/>
            <w:tcMar>
              <w:top w:w="90" w:type="dxa"/>
              <w:bottom w:w="90" w:type="dxa"/>
              <w:left w:w="110" w:type="dxa"/>
              <w:right w:w="110" w:type="dxa"/>
            </w:tcMar>
            <w:shd w:fill="FFFFFF"/>
          </w:tcPr>
          <w:p>
            <w:pPr>
              <w:spacing w:after="40" w:before="20" w:line="250" w:lineRule="auto"/>
              <w:jc w:val="center"/>
            </w:pPr>
            <w:r>
              <w:rPr>
                <w:rFonts w:ascii="Calibri" w:hAnsi="Calibri"/>
                <w:color w:val="000000"/>
                <w:sz w:val="20"/>
              </w:rPr>
              <w:t>7</w:t>
            </w:r>
          </w:p>
        </w:tc>
        <w:tc>
          <w:tcPr>
            <w:tcW w:type="dxa" w:w="518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Classify personal files and update participant records</w:t>
            </w:r>
          </w:p>
        </w:tc>
        <w:tc>
          <w:tcPr>
            <w:tcW w:type="dxa" w:w="4248"/>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Consolidated JSON and browser bundle</w:t>
            </w:r>
          </w:p>
        </w:tc>
      </w:tr>
    </w:tbl>
    <w:p>
      <w:pPr>
        <w:spacing w:after="20"/>
      </w:pPr>
    </w:p>
    <w:p>
      <w:r>
        <w:t>The first personal application batch contains 74 v5 build-37 files from 72 people. These files are separate from the 501 reference test people. The consolidated participant dataset contains 885 people and 1,018 genotype-file records.</w:t>
      </w:r>
    </w:p>
    <w:p>
      <w:r>
        <w:rPr>
          <w:sz w:val="19"/>
        </w:rPr>
        <w:t>Implementation status: source package version 1.0.1 and local checks are available. The initial staging run stopped at the checksum guard. Updated code replaces that guard; new cloud training and test results are pending.</w:t>
      </w:r>
    </w:p>
    <w:p>
      <w:r>
        <w:br w:type="page"/>
      </w:r>
    </w:p>
    <w:p>
      <w:pPr>
        <w:pStyle w:val="Heading1"/>
      </w:pPr>
      <w:r>
        <w:t>Steps 1 to 4 prepare the training inputs</w:t>
      </w:r>
    </w:p>
    <w:p>
      <w:pPr>
        <w:pStyle w:val="Heading2"/>
      </w:pPr>
      <w:r>
        <w:t>1 Prepare the reference genotypes</w:t>
      </w:r>
    </w:p>
    <w:p>
      <w:r>
        <w:t>Read the existing Phase 3 GRCh37 reference from gs://ref1000g/phase3/. Verify the original v5 manifest and its compact derivative, which lists 601,871 autosomal positions on chromosomes 1 through 22. Retain matching biallelic A/C/G/T SNP records and save one PLINK dataset per chromosome for all 2,504 reference people.</w:t>
      </w:r>
    </w:p>
    <w:p>
      <w:r>
        <w:t>The reference supplies the genotypes; the v5 manifest supplies candidate positions. Positions alone do not establish allele orientation in a personal export. Save variant maps and record the actual retained SNP count. Later steps reference these prepared files rather than duplicating the full genotypes.</w:t>
      </w:r>
    </w:p>
    <w:p>
      <w:pPr>
        <w:pStyle w:val="Heading2"/>
      </w:pPr>
      <w:r>
        <w:t>2 Verify the saved split by sample membership</w:t>
      </w:r>
    </w:p>
    <w:p>
      <w:r>
        <w:t>Compare train2003.txt and test501.txt with the completed Step 3 baseline lists from run 20261026-164720-2308. Require exactly the same 2,003 training IDs and 501 test IDs, with no duplicates, overlap, missing people, or extra people.</w:t>
      </w:r>
    </w:p>
    <w:p>
      <w:r>
        <w:t>The updated check accepts differences in headers, FID columns, line endings, and row order. The earlier byte-checksum comparison could fail even when membership agreed. The new check records both file checksums and a checksum of sorted IDs; it does not edit the original lists. Every prepared chromosome must contain the union of all 2,504 people.</w:t>
      </w:r>
    </w:p>
    <w:p>
      <w:pPr>
        <w:pStyle w:val="Heading2"/>
      </w:pPr>
      <w:r>
        <w:t>3 Audit populations and known relatives</w:t>
      </w:r>
    </w:p>
    <w:p>
      <w:r>
        <w:t>Use the population panel to count training and test people by population and broad group. Recheck the published Phase 3 related-pair report against these IDs. The previous audit found 10 close pairs within training and five crossing training and test. This workflow retains every training person and reports those relationships. Known related training people stay together during cross-validation.</w:t>
      </w:r>
    </w:p>
    <w:p>
      <w:pPr>
        <w:pStyle w:val="Heading2"/>
      </w:pPr>
      <w:r>
        <w:t>4 Select SNPs using training people only</w:t>
      </w:r>
    </w:p>
    <w:p>
      <w:r>
        <w:t>Quality control (QC) removes unsuitable SNPs. Linkage disequilibrium (LD) describes correlation between nearby SNPs; pruning reduces repeated information.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2"/>
        <w:gridCol w:w="3024"/>
        <w:gridCol w:w="5184"/>
      </w:tblGrid>
      <w:tr>
        <w:trPr>
          <w:tblHeader/>
          <w:cantSplit/>
        </w:trPr>
        <w:tc>
          <w:tcPr>
            <w:tcW w:type="dxa" w:w="1872"/>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Check</w:t>
            </w:r>
          </w:p>
        </w:tc>
        <w:tc>
          <w:tcPr>
            <w:tcW w:type="dxa" w:w="3024"/>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Configured rule</w:t>
            </w:r>
          </w:p>
        </w:tc>
        <w:tc>
          <w:tcPr>
            <w:tcW w:type="dxa" w:w="5184"/>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Plain-language meaning</w:t>
            </w:r>
          </w:p>
        </w:tc>
      </w:tr>
      <w:tr>
        <w:trPr>
          <w:cantSplit/>
        </w:trPr>
        <w:tc>
          <w:tcPr>
            <w:tcW w:type="dxa" w:w="1872"/>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Missing calls</w:t>
            </w:r>
          </w:p>
        </w:tc>
        <w:tc>
          <w:tcPr>
            <w:tcW w:type="dxa" w:w="302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Maximum missing fraction 0.02</w:t>
            </w:r>
          </w:p>
        </w:tc>
        <w:tc>
          <w:tcPr>
            <w:tcW w:type="dxa" w:w="518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Remove SNPs missing in more than 2% of training people.</w:t>
            </w:r>
          </w:p>
        </w:tc>
      </w:tr>
      <w:tr>
        <w:trPr>
          <w:cantSplit/>
        </w:trPr>
        <w:tc>
          <w:tcPr>
            <w:tcW w:type="dxa" w:w="1872"/>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Allele frequency</w:t>
            </w:r>
          </w:p>
        </w:tc>
        <w:tc>
          <w:tcPr>
            <w:tcW w:type="dxa" w:w="302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Minimum MAF 0.01</w:t>
            </w:r>
          </w:p>
        </w:tc>
        <w:tc>
          <w:tcPr>
            <w:tcW w:type="dxa" w:w="518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Remove SNPs whose less common allele occurs below 1% in training.</w:t>
            </w:r>
          </w:p>
        </w:tc>
      </w:tr>
      <w:tr>
        <w:trPr>
          <w:cantSplit/>
        </w:trPr>
        <w:tc>
          <w:tcPr>
            <w:tcW w:type="dxa" w:w="1872"/>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LD pruning</w:t>
            </w:r>
          </w:p>
        </w:tc>
        <w:tc>
          <w:tcPr>
            <w:tcW w:type="dxa" w:w="302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200 kb window and r squared 0.5</w:t>
            </w:r>
          </w:p>
        </w:tc>
        <w:tc>
          <w:tcPr>
            <w:tcW w:type="dxa" w:w="518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Reduce strongly correlated SNPs that repeat similar information.</w:t>
            </w:r>
          </w:p>
        </w:tc>
      </w:tr>
    </w:tbl>
    <w:p>
      <w:pPr>
        <w:spacing w:after="20"/>
      </w:pPr>
    </w:p>
    <w:p>
      <w:r>
        <w:t>Save selected and removed marker IDs, settings, and chromosome counts. The new final SNP count is measured by this run; it is not fixed to the count from the previous classifier. The 501 test people do not select the markers.</w:t>
      </w:r>
    </w:p>
    <w:p>
      <w:r>
        <w:br w:type="page"/>
      </w:r>
    </w:p>
    <w:p>
      <w:pPr>
        <w:pStyle w:val="Heading1"/>
      </w:pPr>
      <w:r>
        <w:t>Step 5 turns SNP measurements into a classifier</w:t>
      </w:r>
    </w:p>
    <w:p>
      <w:r>
        <w:t>The training table has 2,003 rows, one per person, and one column for each SNP selected in Step 4. A separate label identifies each person's 1000 Genomes broad reference group. The model learns to predict those labels from genetic patterns.</w:t>
      </w:r>
    </w:p>
    <w:p>
      <w:pPr>
        <w:pStyle w:val="Heading2"/>
      </w:pPr>
      <w:r>
        <w:t>What a genotype value means</w:t>
      </w:r>
    </w:p>
    <w:p>
      <w:r>
        <w:t>Each SNP is coded as the number of copies of the reference allele: 0, 1, or 2. For example, if the reference allele is A and the alternate allele is G, GG is 0, AG is 1, and AA is 2. The same counted allele and column order must be used during training, testing, and browser prediction.</w:t>
      </w:r>
    </w:p>
    <w:p>
      <w:pPr>
        <w:pStyle w:val="Heading2"/>
      </w:pPr>
      <w:r>
        <w:t>The fitted pipeline in order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176"/>
        <w:gridCol w:w="4104"/>
      </w:tblGrid>
      <w:tr>
        <w:trPr>
          <w:tblHeader/>
          <w:cantSplit/>
        </w:trPr>
        <w:tc>
          <w:tcPr>
            <w:tcW w:type="dxa" w:w="1800"/>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Component</w:t>
            </w:r>
          </w:p>
        </w:tc>
        <w:tc>
          <w:tcPr>
            <w:tcW w:type="dxa" w:w="4176"/>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What training learns</w:t>
            </w:r>
          </w:p>
        </w:tc>
        <w:tc>
          <w:tcPr>
            <w:tcW w:type="dxa" w:w="4104"/>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What prediction reuses</w:t>
            </w:r>
          </w:p>
        </w:tc>
      </w:tr>
      <w:tr>
        <w:trPr>
          <w:cantSplit/>
        </w:trPr>
        <w:tc>
          <w:tcPr>
            <w:tcW w:type="dxa" w:w="180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Mean filling</w:t>
            </w:r>
          </w:p>
        </w:tc>
        <w:tc>
          <w:tcPr>
            <w:tcW w:type="dxa" w:w="4176"/>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The average observed allele count for each training SNP.</w:t>
            </w:r>
          </w:p>
        </w:tc>
        <w:tc>
          <w:tcPr>
            <w:tcW w:type="dxa" w:w="410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Fill a missing value using that saved average.</w:t>
            </w:r>
          </w:p>
        </w:tc>
      </w:tr>
      <w:tr>
        <w:trPr>
          <w:cantSplit/>
        </w:trPr>
        <w:tc>
          <w:tcPr>
            <w:tcW w:type="dxa" w:w="180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Scaling</w:t>
            </w:r>
          </w:p>
        </w:tc>
        <w:tc>
          <w:tcPr>
            <w:tcW w:type="dxa" w:w="4176"/>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A mean and standard deviation for each filled training SNP column.</w:t>
            </w:r>
          </w:p>
        </w:tc>
        <w:tc>
          <w:tcPr>
            <w:tcW w:type="dxa" w:w="410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Apply the saved centering and scaling to the input.</w:t>
            </w:r>
          </w:p>
        </w:tc>
      </w:tr>
      <w:tr>
        <w:trPr>
          <w:cantSplit/>
        </w:trPr>
        <w:tc>
          <w:tcPr>
            <w:tcW w:type="dxa" w:w="180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PCA</w:t>
            </w:r>
          </w:p>
        </w:tc>
        <w:tc>
          <w:tcPr>
            <w:tcW w:type="dxa" w:w="4176"/>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Weighted combinations of SNPs that summarize genetic variation.</w:t>
            </w:r>
          </w:p>
        </w:tc>
        <w:tc>
          <w:tcPr>
            <w:tcW w:type="dxa" w:w="410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Project the input onto the saved principal-component directions.</w:t>
            </w:r>
          </w:p>
        </w:tc>
      </w:tr>
      <w:tr>
        <w:trPr>
          <w:cantSplit/>
        </w:trPr>
        <w:tc>
          <w:tcPr>
            <w:tcW w:type="dxa" w:w="180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Logistic classifier</w:t>
            </w:r>
          </w:p>
        </w:tc>
        <w:tc>
          <w:tcPr>
            <w:tcW w:type="dxa" w:w="4176"/>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Weights connecting the PCA coordinates to the five reference-group labels.</w:t>
            </w:r>
          </w:p>
        </w:tc>
        <w:tc>
          <w:tcPr>
            <w:tcW w:type="dxa" w:w="410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Calculate group probabilities and choose the highest one.</w:t>
            </w:r>
          </w:p>
        </w:tc>
      </w:tr>
    </w:tbl>
    <w:p>
      <w:pPr>
        <w:spacing w:after="20"/>
      </w:pPr>
    </w:p>
    <w:p>
      <w:r>
        <w:t>A missing input can become a fractional value, such as 0.8, when it is filled with a training mean. This supplies the classifier with a numeric input; it does not establish that person's true missing genotype.</w:t>
      </w:r>
    </w:p>
    <w:p>
      <w:r>
        <w:t>PCA stands for principal component analysis. Instead of giving the classifier hundreds of thousands of SNP values directly, it supplies 10 or 20 summary coordinates. The classifier is a multinomial logistic regression: it compares the five reference groups together. [1-4]</w:t>
      </w:r>
    </w:p>
    <w:p>
      <w:r>
        <w:t>The saved group order corresponds to AFR, AMR, EAS, EUR, and SAS. These denote African, admixed American, East Asian, European, and South Asian reference groups. They describe the reference labels used by this model; they are not a complete description of a person's ancestry or identity.</w:t>
      </w:r>
    </w:p>
    <w:p>
      <w:pPr>
        <w:pStyle w:val="Heading2"/>
      </w:pPr>
      <w:r>
        <w:t>Where C is used</w:t>
      </w:r>
    </w:p>
    <w:p>
      <w:r>
        <w:t>C belongs to the logistic classifier. It controls how strongly the fitting process restrains large classifier weights, a method called regularization. C = 0.1 applies stronger restraint than C = 1.0. Neither value sets the PCA component count or determines which SNPs pass QC. [4]</w:t>
      </w:r>
    </w:p>
    <w:p>
      <w:r>
        <w:t>The complete pipeline is saved together. Test people and new uploads reuse its learned means, scaling, PCA directions, and classifier weights. They do not fit a new PCA or recalculate the training means.</w:t>
      </w:r>
    </w:p>
    <w:p>
      <w:r>
        <w:br w:type="page"/>
      </w:r>
    </w:p>
    <w:p>
      <w:pPr>
        <w:pStyle w:val="Heading1"/>
      </w:pPr>
      <w:r>
        <w:t>Step 5 chooses settings before the final fit</w:t>
      </w:r>
    </w:p>
    <w:p>
      <w:pPr>
        <w:pStyle w:val="Heading2"/>
      </w:pPr>
      <w:r>
        <w:t>Three folds inside the 2003 training people</w:t>
      </w:r>
    </w:p>
    <w:p>
      <w:r>
        <w:t>Cross-validation divides the training people into three validation groups. In turn, it fits on about two thirds and predicts the remaining third. Fold sizes can differ because relatives must stay together. StratifiedGroupKFold tries to preserve reference-group proportions while preventing a related training group from crossing folds. [5]</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176"/>
        <w:gridCol w:w="4104"/>
      </w:tblGrid>
      <w:tr>
        <w:trPr>
          <w:tblHeader/>
          <w:cantSplit/>
        </w:trPr>
        <w:tc>
          <w:tcPr>
            <w:tcW w:type="dxa" w:w="1800"/>
            <w:vAlign w:val="center"/>
            <w:tcMar>
              <w:top w:w="90" w:type="dxa"/>
              <w:bottom w:w="90" w:type="dxa"/>
              <w:left w:w="110" w:type="dxa"/>
              <w:right w:w="110" w:type="dxa"/>
            </w:tcMar>
            <w:shd w:fill="E6EEF5"/>
          </w:tcPr>
          <w:p>
            <w:pPr>
              <w:spacing w:after="40" w:before="20" w:line="250" w:lineRule="auto"/>
              <w:jc w:val="center"/>
            </w:pPr>
            <w:r>
              <w:rPr>
                <w:rFonts w:ascii="Calibri" w:hAnsi="Calibri"/>
                <w:b/>
                <w:color w:val="000000"/>
                <w:sz w:val="20"/>
              </w:rPr>
              <w:t>Validation turn</w:t>
            </w:r>
          </w:p>
        </w:tc>
        <w:tc>
          <w:tcPr>
            <w:tcW w:type="dxa" w:w="4176"/>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Fit on</w:t>
            </w:r>
          </w:p>
        </w:tc>
        <w:tc>
          <w:tcPr>
            <w:tcW w:type="dxa" w:w="4104"/>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Check on</w:t>
            </w:r>
          </w:p>
        </w:tc>
      </w:tr>
      <w:tr>
        <w:trPr>
          <w:cantSplit/>
        </w:trPr>
        <w:tc>
          <w:tcPr>
            <w:tcW w:type="dxa" w:w="1800"/>
            <w:vAlign w:val="center"/>
            <w:tcMar>
              <w:top w:w="90" w:type="dxa"/>
              <w:bottom w:w="90" w:type="dxa"/>
              <w:left w:w="110" w:type="dxa"/>
              <w:right w:w="110" w:type="dxa"/>
            </w:tcMar>
            <w:shd w:fill="FFFFFF"/>
          </w:tcPr>
          <w:p>
            <w:pPr>
              <w:spacing w:after="40" w:before="20" w:line="250" w:lineRule="auto"/>
              <w:jc w:val="center"/>
            </w:pPr>
            <w:r>
              <w:rPr>
                <w:rFonts w:ascii="Calibri" w:hAnsi="Calibri"/>
                <w:color w:val="000000"/>
                <w:sz w:val="20"/>
              </w:rPr>
              <w:t>1</w:t>
            </w:r>
          </w:p>
        </w:tc>
        <w:tc>
          <w:tcPr>
            <w:tcW w:type="dxa" w:w="4176"/>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Folds B and C</w:t>
            </w:r>
          </w:p>
        </w:tc>
        <w:tc>
          <w:tcPr>
            <w:tcW w:type="dxa" w:w="410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Fold A</w:t>
            </w:r>
          </w:p>
        </w:tc>
      </w:tr>
      <w:tr>
        <w:trPr>
          <w:cantSplit/>
        </w:trPr>
        <w:tc>
          <w:tcPr>
            <w:tcW w:type="dxa" w:w="1800"/>
            <w:vAlign w:val="center"/>
            <w:tcMar>
              <w:top w:w="90" w:type="dxa"/>
              <w:bottom w:w="90" w:type="dxa"/>
              <w:left w:w="110" w:type="dxa"/>
              <w:right w:w="110" w:type="dxa"/>
            </w:tcMar>
            <w:shd w:fill="F7F8FA"/>
          </w:tcPr>
          <w:p>
            <w:pPr>
              <w:spacing w:after="40" w:before="20" w:line="250" w:lineRule="auto"/>
              <w:jc w:val="center"/>
            </w:pPr>
            <w:r>
              <w:rPr>
                <w:rFonts w:ascii="Calibri" w:hAnsi="Calibri"/>
                <w:color w:val="000000"/>
                <w:sz w:val="20"/>
              </w:rPr>
              <w:t>2</w:t>
            </w:r>
          </w:p>
        </w:tc>
        <w:tc>
          <w:tcPr>
            <w:tcW w:type="dxa" w:w="4176"/>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Folds A and C</w:t>
            </w:r>
          </w:p>
        </w:tc>
        <w:tc>
          <w:tcPr>
            <w:tcW w:type="dxa" w:w="410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Fold B</w:t>
            </w:r>
          </w:p>
        </w:tc>
      </w:tr>
      <w:tr>
        <w:trPr>
          <w:cantSplit/>
        </w:trPr>
        <w:tc>
          <w:tcPr>
            <w:tcW w:type="dxa" w:w="1800"/>
            <w:vAlign w:val="center"/>
            <w:tcMar>
              <w:top w:w="90" w:type="dxa"/>
              <w:bottom w:w="90" w:type="dxa"/>
              <w:left w:w="110" w:type="dxa"/>
              <w:right w:w="110" w:type="dxa"/>
            </w:tcMar>
            <w:shd w:fill="FFFFFF"/>
          </w:tcPr>
          <w:p>
            <w:pPr>
              <w:spacing w:after="40" w:before="20" w:line="250" w:lineRule="auto"/>
              <w:jc w:val="center"/>
            </w:pPr>
            <w:r>
              <w:rPr>
                <w:rFonts w:ascii="Calibri" w:hAnsi="Calibri"/>
                <w:color w:val="000000"/>
                <w:sz w:val="20"/>
              </w:rPr>
              <w:t>3</w:t>
            </w:r>
          </w:p>
        </w:tc>
        <w:tc>
          <w:tcPr>
            <w:tcW w:type="dxa" w:w="4176"/>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Folds A and B</w:t>
            </w:r>
          </w:p>
        </w:tc>
        <w:tc>
          <w:tcPr>
            <w:tcW w:type="dxa" w:w="410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Fold C</w:t>
            </w:r>
          </w:p>
        </w:tc>
      </w:tr>
    </w:tbl>
    <w:p>
      <w:pPr>
        <w:spacing w:after="20"/>
      </w:pPr>
    </w:p>
    <w:p>
      <w:r>
        <w:rPr>
          <w:sz w:val="19"/>
        </w:rPr>
        <w:t>A, B, and C are illustrative fold labels. Every person above belongs to the 2,003-person training cohort; none belongs to the 501-person reference test cohort.</w:t>
      </w:r>
    </w:p>
    <w:p>
      <w:r>
        <w:t>Within each fold, fit mean filling, scaling, and PCA using only that fold's fitting people. PCA produces 20 coordinates, and classifier trials use either the first 10 or all 20. Each setting is assessed on the fold's validation people.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4176"/>
        <w:gridCol w:w="4104"/>
      </w:tblGrid>
      <w:tr>
        <w:trPr>
          <w:tblHeader/>
          <w:cantSplit/>
        </w:trPr>
        <w:tc>
          <w:tcPr>
            <w:tcW w:type="dxa" w:w="1800"/>
            <w:vAlign w:val="center"/>
            <w:tcMar>
              <w:top w:w="90" w:type="dxa"/>
              <w:bottom w:w="90" w:type="dxa"/>
              <w:left w:w="110" w:type="dxa"/>
              <w:right w:w="110" w:type="dxa"/>
            </w:tcMar>
            <w:shd w:fill="E6EEF5"/>
          </w:tcPr>
          <w:p>
            <w:pPr>
              <w:spacing w:after="40" w:before="20" w:line="250" w:lineRule="auto"/>
              <w:jc w:val="center"/>
            </w:pPr>
            <w:r>
              <w:rPr>
                <w:rFonts w:ascii="Calibri" w:hAnsi="Calibri"/>
                <w:b/>
                <w:color w:val="000000"/>
                <w:sz w:val="20"/>
              </w:rPr>
              <w:t>Classifier C</w:t>
            </w:r>
          </w:p>
        </w:tc>
        <w:tc>
          <w:tcPr>
            <w:tcW w:type="dxa" w:w="4176"/>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10 principal components</w:t>
            </w:r>
          </w:p>
        </w:tc>
        <w:tc>
          <w:tcPr>
            <w:tcW w:type="dxa" w:w="4104"/>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20 principal components</w:t>
            </w:r>
          </w:p>
        </w:tc>
      </w:tr>
      <w:tr>
        <w:trPr>
          <w:cantSplit/>
        </w:trPr>
        <w:tc>
          <w:tcPr>
            <w:tcW w:type="dxa" w:w="1800"/>
            <w:vAlign w:val="center"/>
            <w:tcMar>
              <w:top w:w="90" w:type="dxa"/>
              <w:bottom w:w="90" w:type="dxa"/>
              <w:left w:w="110" w:type="dxa"/>
              <w:right w:w="110" w:type="dxa"/>
            </w:tcMar>
            <w:shd w:fill="FFFFFF"/>
          </w:tcPr>
          <w:p>
            <w:pPr>
              <w:spacing w:after="40" w:before="20" w:line="250" w:lineRule="auto"/>
              <w:jc w:val="center"/>
            </w:pPr>
            <w:r>
              <w:rPr>
                <w:rFonts w:ascii="Calibri" w:hAnsi="Calibri"/>
                <w:color w:val="000000"/>
                <w:sz w:val="20"/>
              </w:rPr>
              <w:t>0.1</w:t>
            </w:r>
          </w:p>
        </w:tc>
        <w:tc>
          <w:tcPr>
            <w:tcW w:type="dxa" w:w="4176"/>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Candidate setting</w:t>
            </w:r>
          </w:p>
        </w:tc>
        <w:tc>
          <w:tcPr>
            <w:tcW w:type="dxa" w:w="4104"/>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Candidate setting</w:t>
            </w:r>
          </w:p>
        </w:tc>
      </w:tr>
      <w:tr>
        <w:trPr>
          <w:cantSplit/>
        </w:trPr>
        <w:tc>
          <w:tcPr>
            <w:tcW w:type="dxa" w:w="1800"/>
            <w:vAlign w:val="center"/>
            <w:tcMar>
              <w:top w:w="90" w:type="dxa"/>
              <w:bottom w:w="90" w:type="dxa"/>
              <w:left w:w="110" w:type="dxa"/>
              <w:right w:w="110" w:type="dxa"/>
            </w:tcMar>
            <w:shd w:fill="F7F8FA"/>
          </w:tcPr>
          <w:p>
            <w:pPr>
              <w:spacing w:after="40" w:before="20" w:line="250" w:lineRule="auto"/>
              <w:jc w:val="center"/>
            </w:pPr>
            <w:r>
              <w:rPr>
                <w:rFonts w:ascii="Calibri" w:hAnsi="Calibri"/>
                <w:color w:val="000000"/>
                <w:sz w:val="20"/>
              </w:rPr>
              <w:t>1.0</w:t>
            </w:r>
          </w:p>
        </w:tc>
        <w:tc>
          <w:tcPr>
            <w:tcW w:type="dxa" w:w="4176"/>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Candidate setting</w:t>
            </w:r>
          </w:p>
        </w:tc>
        <w:tc>
          <w:tcPr>
            <w:tcW w:type="dxa" w:w="4104"/>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Candidate setting</w:t>
            </w:r>
          </w:p>
        </w:tc>
      </w:tr>
    </w:tbl>
    <w:p>
      <w:pPr>
        <w:spacing w:after="20"/>
      </w:pPr>
    </w:p>
    <w:p>
      <w:r>
        <w:t>These are four candidate settings for one final model. Select the highest mean balanced accuracy, then overall accuracy; remaining ties favor fewer components and smaller C. Balanced accuracy averages the fraction correctly classified within each reference group, giving groups equal weight. Ordinary accuracy counts correct predictions across all people. The reported CV scores average the three fold scores. [6]</w:t>
      </w:r>
    </w:p>
    <w:p>
      <w:pPr>
        <w:pStyle w:val="Heading2"/>
      </w:pPr>
      <w:r>
        <w:t>Refit once on all 2003 people</w:t>
      </w:r>
    </w:p>
    <w:p>
      <w:r>
        <w:t>After choosing the settings, fit a fresh complete pipeline on all 2,003 training people. Save model.joblib, the ordered selected_markers.tsv, cv_scores.json, training_summary.json, and checksums. C and the PCA count are recorded; they do not need to be chosen again for each new person.</w:t>
      </w:r>
    </w:p>
    <w:p>
      <w:r>
        <w:t>CV limitation: Step 4 QC and LD pruning already used the full training cohort, including CV validation genotypes. The CV estimate therefore does not fully repeat marker selection inside each fold. The separate 501-person test set remains excluded from marker selection and model fitting.</w:t>
      </w:r>
    </w:p>
    <w:p>
      <w:pPr>
        <w:pStyle w:val="Heading2"/>
      </w:pPr>
      <w:r>
        <w:t>Step 6 measures the frozen model</w:t>
      </w:r>
    </w:p>
    <w:p>
      <w:r>
        <w:t>Apply the saved pipeline to all 501 reference test people. Compare predictions with their known labels and report overall accuracy, balanced accuracy, per-group and per-population counts, and a confusion table. These are new run results, not the earlier classifier's accuracy. Reusing an already examined test split is a repeated benchmark, not new external validation.</w:t>
      </w:r>
    </w:p>
    <w:p>
      <w:r>
        <w:br w:type="page"/>
      </w:r>
    </w:p>
    <w:p>
      <w:pPr>
        <w:pStyle w:val="Heading1"/>
      </w:pPr>
      <w:r>
        <w:t>ONNX carries the fitted calculations into the browser</w:t>
      </w:r>
    </w:p>
    <w:p>
      <w:r>
        <w:t>ONNX means Open Neural Network Exchange. In this workflow it is a portable representation of the fitted model's calculations. Python trains the scikit-learn pipeline; Step 6 automatically exports its calculations to ONNX for predictions. Training is not repeated when the model is exported or when a new file is classified. [7, 8]</w:t>
      </w:r>
    </w:p>
    <w:p>
      <w:pPr>
        <w:jc w:val="center"/>
      </w:pPr>
      <w:r>
        <w:drawing>
          <wp:inline xmlns:a="http://schemas.openxmlformats.org/drawingml/2006/main" xmlns:pic="http://schemas.openxmlformats.org/drawingml/2006/picture">
            <wp:extent cx="6126480" cy="2341191"/>
            <wp:docPr id="1" name="Picture 1" descr="Step 5 trains one Python pipeline on 2003 people. Its saved pipeline is exported to ONNX in step 6. The same ONNX model is checked in the cloud on 501 reference people and 74 personal files, and can be reused in a browser for new v5 build 37 uploads."/>
            <wp:cNvGraphicFramePr>
              <a:graphicFrameLocks noChangeAspect="1"/>
            </wp:cNvGraphicFramePr>
            <a:graphic>
              <a:graphicData uri="http://schemas.openxmlformats.org/drawingml/2006/picture">
                <pic:pic>
                  <pic:nvPicPr>
                    <pic:cNvPr id="0" name="onnx_workflow.png"/>
                    <pic:cNvPicPr/>
                  </pic:nvPicPr>
                  <pic:blipFill>
                    <a:blip r:embed="rId16"/>
                    <a:stretch>
                      <a:fillRect/>
                    </a:stretch>
                  </pic:blipFill>
                  <pic:spPr>
                    <a:xfrm>
                      <a:off x="0" y="0"/>
                      <a:ext cx="6126480" cy="2341191"/>
                    </a:xfrm>
                    <a:prstGeom prst="rect"/>
                  </pic:spPr>
                </pic:pic>
              </a:graphicData>
            </a:graphic>
          </wp:inline>
        </w:drawing>
      </w:r>
    </w:p>
    <w:p>
      <w:pPr>
        <w:pStyle w:val="Caption"/>
      </w:pPr>
      <w:r>
        <w:t>One fitted pipeline is reused across Python, cloud ONNX checks, and browser inference.</w:t>
      </w:r>
    </w:p>
    <w:p>
      <w:pPr>
        <w:pStyle w:val="Heading2"/>
      </w:pPr>
      <w:r>
        <w:t>What the exporter preserves</w:t>
      </w:r>
    </w:p>
    <w:p>
      <w:r>
        <w:t>export_onnx.py builds a graph of standard numeric operations using the learned training means, scaling values, PCA centering and weights, and logistic-regression coefficients and intercepts. Its operations fill missing values, subtract and divide, multiply matrices, and convert classifier scores into probabilities. The current export uses 32-bit floating-point values.</w:t>
      </w:r>
    </w:p>
    <w:p>
      <w:r>
        <w:t>The ONNX graph does not read a 23andMe text file. A parser first creates a numeric row in the exact model-marker order. markers.json supplies positions and alleles; metadata.json supplies class order, model version, checksums, and coverage rules. The graph then processes that row.</w:t>
      </w:r>
    </w:p>
    <w:p>
      <w:pPr>
        <w:pStyle w:val="Heading2"/>
      </w:pPr>
      <w:r>
        <w:t>Conversion must agree with Python</w:t>
      </w:r>
    </w:p>
    <w:p>
      <w:r>
        <w:t>Step 6 compares the ONNX and Python predictions for all 501 reference people. The configured check requires identical predicted labels and a maximum absolute probability difference of 0.0001 or less. For example, probabilities of 0.80000 and 0.80005 are within that numerical tolerance. It is a conversion check, not an ancestry-accuracy percentage.</w:t>
      </w:r>
    </w:p>
    <w:p>
      <w:r>
        <w:t>Step 7 also compares ONNX and Python on every eligible personal-file prediction. These cloud checks use Python ONNX Runtime. A separate check in the actual browser is still required before publishing, because file parsing and browser-runtime loading must also work correctly.</w:t>
      </w:r>
    </w:p>
    <w:p>
      <w:r>
        <w:br w:type="page"/>
      </w:r>
    </w:p>
    <w:p>
      <w:pPr>
        <w:pStyle w:val="Heading1"/>
      </w:pPr>
      <w:r>
        <w:t>Step 7 classifies files and updates participant records</w:t>
      </w:r>
    </w:p>
    <w:p>
      <w:r>
        <w:t>Use the NEW consolidated participant JSON as the base. It already contains profiles, genome builds, and updated chip-version fields. Select records whose chipClassification is v5 and whose genomeBuild is 37, and cross-check their stored GCS paths against chip_match_results.json.</w:t>
      </w:r>
    </w:p>
    <w:p>
      <w:r>
        <w:t>The supplied records identify 74 eligible files from 72 people. Copy those raw files once into 7_apply_v5_classifier/input/test/files/. Save a file manifest with original paths, copied paths, object versions, and checksums. These personal files are not training examples and are not the 501 reference test people.</w:t>
      </w:r>
    </w:p>
    <w:p>
      <w:pPr>
        <w:pStyle w:val="Heading2"/>
      </w:pPr>
      <w:r>
        <w:t>Prepare each personal input consistently</w:t>
      </w:r>
    </w:p>
    <w:p>
      <w:r>
        <w:t>Require a build-37 header. Match chromosome, position, and alleles to the model markers; count the same reference allele as in training. Missing calls, incompatible alleles, ambiguous positions, and conflicting duplicates remain missing. Do not silently complement strands. The saved training means fill input gaps inside the model.</w:t>
      </w:r>
    </w:p>
    <w:p>
      <w:r>
        <w:t>The current reporting rules require at least 90% called model markers and no more than 1% incompatible alleles among matched coordinates. Malformed rows or a wrong/unverified build also prevent classification. These are operational checks, not validated accuracy guarantees. The browser currently supports known v5 build-37 text files; marker coverage alone does not establish chip version.</w:t>
      </w:r>
    </w:p>
    <w:p>
      <w:pPr>
        <w:pStyle w:val="Heading2"/>
      </w:pPr>
      <w:r>
        <w:t>Join predictions without losing profiles</w:t>
      </w:r>
    </w:p>
    <w:p>
      <w:r>
        <w:t>Match predictions to participant and genotype-file identity, using stored GCS paths. Keep all 885 people and 1,018 file records. Add the new file-level group, probabilities, QC, and model/run identifiers. Summarize a person's group only when classified files agree; flag disagreement. Preserve self-reported race and ethnicity separately. Archive older ancestry fields as history when present.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72"/>
        <w:gridCol w:w="6408"/>
      </w:tblGrid>
      <w:tr>
        <w:trPr>
          <w:tblHeader/>
          <w:cantSplit/>
        </w:trPr>
        <w:tc>
          <w:tcPr>
            <w:tcW w:type="dxa" w:w="3672"/>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Saved output</w:t>
            </w:r>
          </w:p>
        </w:tc>
        <w:tc>
          <w:tcPr>
            <w:tcW w:type="dxa" w:w="6408"/>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Contents</w:t>
            </w:r>
          </w:p>
        </w:tc>
      </w:tr>
      <w:tr>
        <w:trPr>
          <w:cantSplit/>
        </w:trPr>
        <w:tc>
          <w:tcPr>
            <w:tcW w:type="dxa" w:w="3672"/>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predictions.json</w:t>
            </w:r>
          </w:p>
        </w:tc>
        <w:tc>
          <w:tcPr>
            <w:tcW w:type="dxa" w:w="6408"/>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The 74 file-level reports, including skips and reasons.</w:t>
            </w:r>
          </w:p>
        </w:tc>
      </w:tr>
      <w:tr>
        <w:trPr>
          <w:cantSplit/>
        </w:trPr>
        <w:tc>
          <w:tcPr>
            <w:tcW w:type="dxa" w:w="3672"/>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consolidated_participants.json</w:t>
            </w:r>
          </w:p>
        </w:tc>
        <w:tc>
          <w:tcPr>
            <w:tcW w:type="dxa" w:w="6408"/>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All participants and profiles with new ancestry fields added.</w:t>
            </w:r>
          </w:p>
        </w:tc>
      </w:tr>
      <w:tr>
        <w:trPr>
          <w:cantSplit/>
        </w:trPr>
        <w:tc>
          <w:tcPr>
            <w:tcW w:type="dxa" w:w="3672"/>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v5_build37_table.csv</w:t>
            </w:r>
          </w:p>
        </w:tc>
        <w:tc>
          <w:tcPr>
            <w:tcW w:type="dxa" w:w="6408"/>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74 file rows with ancestry, coverage, and self-reported fields.</w:t>
            </w:r>
          </w:p>
        </w:tc>
      </w:tr>
      <w:tr>
        <w:trPr>
          <w:cantSplit/>
        </w:trPr>
        <w:tc>
          <w:tcPr>
            <w:tcW w:type="dxa" w:w="3672"/>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merge_audit.json</w:t>
            </w:r>
          </w:p>
        </w:tc>
        <w:tc>
          <w:tcPr>
            <w:tcW w:type="dxa" w:w="6408"/>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Join counts, unmatched records, and conflicting predictions.</w:t>
            </w:r>
          </w:p>
        </w:tc>
      </w:tr>
    </w:tbl>
    <w:p>
      <w:pPr>
        <w:spacing w:after="20"/>
      </w:pPr>
    </w:p>
    <w:p>
      <w:pPr>
        <w:pStyle w:val="Heading2"/>
      </w:pPr>
      <w:r>
        <w:t>Move only the browser release into the website</w:t>
      </w:r>
    </w:p>
    <w:p>
      <w:r>
        <w:t>The browser/ folder contains model.onnx, markers.json, metadata.json, classifier.mjs, index.html, and the pinned JavaScript/WebAssembly runtime in vendor/. WebAssembly is the engine that runs the numeric model in the browser. Host the complete folder over HTTP(S); no Python installation is needed by the person uploading a file. [8]</w:t>
      </w:r>
    </w:p>
    <w:p>
      <w:r>
        <w:t>The supplied page reads files locally, one at a time. Keep raw genotypes, participant profiles, and identifiable prediction tables out of a public repository. Before integrating with Diseasome, compare the same known file in the browser and Step 7, including its group, probabilities, and QC counts. Reference-group probabilities are not ancestry mixture percentages or clinical risk.</w:t>
      </w:r>
    </w:p>
    <w:p>
      <w:r>
        <w:br w:type="page"/>
      </w:r>
    </w:p>
    <w:p>
      <w:pPr>
        <w:pStyle w:val="Heading1"/>
      </w:pPr>
      <w:r>
        <w:t>Cloud folders execution and the latest fix</w:t>
      </w:r>
    </w:p>
    <w:p>
      <w:r>
        <w:t>Cloud Shell package folder:</w:t>
      </w:r>
    </w:p>
    <w:p>
      <w:pPr>
        <w:spacing w:after="140" w:line="240" w:lineRule="auto"/>
      </w:pPr>
      <w:r>
        <w:rPr>
          <w:rFonts w:ascii="DejaVu Sans Mono" w:hAnsi="DejaVu Sans Mono"/>
          <w:sz w:val="18"/>
        </w:rPr>
        <w:t>~/ancestry2/my23_v5_ancestry_model/</w:t>
      </w:r>
    </w:p>
    <w:p>
      <w:r>
        <w:t>Bucket folder for code snapshots, staged inputs, and results:</w:t>
      </w:r>
    </w:p>
    <w:p>
      <w:pPr>
        <w:spacing w:after="140" w:line="240" w:lineRule="auto"/>
      </w:pPr>
      <w:r>
        <w:rPr>
          <w:rFonts w:ascii="DejaVu Sans Mono" w:hAnsi="DejaVu Sans Mono"/>
          <w:sz w:val="18"/>
        </w:rPr>
        <w:t>gs://all23_0710/ancestry/my23_v5_ancestry_model/</w:t>
      </w:r>
    </w:p>
    <w:p>
      <w:r>
        <w:t>Each numbered folder has input/RUN_ID/, source/RUN_ID/, and results/RUN_ID/. Later input manifests point to the shared genotypes rather than duplicating them. Common code and the effective configuration are saved under source/RUN_ID/ at the project root.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960"/>
        <w:gridCol w:w="6120"/>
      </w:tblGrid>
      <w:tr>
        <w:trPr>
          <w:tblHeader/>
          <w:cantSplit/>
        </w:trPr>
        <w:tc>
          <w:tcPr>
            <w:tcW w:type="dxa" w:w="3960"/>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Step folder</w:t>
            </w:r>
          </w:p>
        </w:tc>
        <w:tc>
          <w:tcPr>
            <w:tcW w:type="dxa" w:w="6120"/>
            <w:vAlign w:val="center"/>
            <w:tcMar>
              <w:top w:w="90" w:type="dxa"/>
              <w:bottom w:w="90" w:type="dxa"/>
              <w:left w:w="110" w:type="dxa"/>
              <w:right w:w="110" w:type="dxa"/>
            </w:tcMar>
            <w:shd w:fill="E6EEF5"/>
          </w:tcPr>
          <w:p>
            <w:pPr>
              <w:spacing w:after="40" w:before="20" w:line="250" w:lineRule="auto"/>
            </w:pPr>
            <w:r>
              <w:rPr>
                <w:rFonts w:ascii="Calibri" w:hAnsi="Calibri"/>
                <w:b/>
                <w:color w:val="000000"/>
                <w:sz w:val="20"/>
              </w:rPr>
              <w:t>Main saved result</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1_prepared_data/</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chromosomes/chrN/chrN.pgen, .pvar.zst, .psam and variant maps</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2_split_the_samples/</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Original split verification and normalized keep files</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3_audit_pop_and_relatives/</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Population counts, related pairs, and CV groups</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4_snp_qc_and_ld_prune/</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Selected SNP lists and QC/pruning reports</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5_fit_pca_and_classifier/</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The fitted Python pipeline and training report</w:t>
            </w:r>
          </w:p>
        </w:tc>
      </w:tr>
      <w:tr>
        <w:trPr>
          <w:cantSplit/>
        </w:trPr>
        <w:tc>
          <w:tcPr>
            <w:tcW w:type="dxa" w:w="396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6_test_model/</w:t>
            </w:r>
          </w:p>
        </w:tc>
        <w:tc>
          <w:tcPr>
            <w:tcW w:type="dxa" w:w="6120"/>
            <w:vAlign w:val="center"/>
            <w:tcMar>
              <w:top w:w="90" w:type="dxa"/>
              <w:bottom w:w="90" w:type="dxa"/>
              <w:left w:w="110" w:type="dxa"/>
              <w:right w:w="110" w:type="dxa"/>
            </w:tcMar>
            <w:shd w:fill="F7F8FA"/>
          </w:tcPr>
          <w:p>
            <w:pPr>
              <w:spacing w:after="40" w:before="20" w:line="250" w:lineRule="auto"/>
            </w:pPr>
            <w:r>
              <w:rPr>
                <w:rFonts w:ascii="Calibri" w:hAnsi="Calibri"/>
                <w:color w:val="000000"/>
                <w:sz w:val="20"/>
              </w:rPr>
              <w:t>501-person evaluation and verified ONNX assets</w:t>
            </w:r>
          </w:p>
        </w:tc>
      </w:tr>
      <w:tr>
        <w:trPr>
          <w:cantSplit/>
        </w:trPr>
        <w:tc>
          <w:tcPr>
            <w:tcW w:type="dxa" w:w="396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7_apply_v5_classifier/</w:t>
            </w:r>
          </w:p>
        </w:tc>
        <w:tc>
          <w:tcPr>
            <w:tcW w:type="dxa" w:w="6120"/>
            <w:vAlign w:val="center"/>
            <w:tcMar>
              <w:top w:w="90" w:type="dxa"/>
              <w:bottom w:w="90" w:type="dxa"/>
              <w:left w:w="110" w:type="dxa"/>
              <w:right w:w="110" w:type="dxa"/>
            </w:tcMar>
            <w:shd w:fill="FFFFFF"/>
          </w:tcPr>
          <w:p>
            <w:pPr>
              <w:spacing w:after="40" w:before="20" w:line="250" w:lineRule="auto"/>
            </w:pPr>
            <w:r>
              <w:rPr>
                <w:rFonts w:ascii="Calibri" w:hAnsi="Calibri"/>
                <w:color w:val="000000"/>
                <w:sz w:val="20"/>
              </w:rPr>
              <w:t>Participant merge, 74-file predictions, and browser release</w:t>
            </w:r>
          </w:p>
        </w:tc>
      </w:tr>
    </w:tbl>
    <w:p>
      <w:pPr>
        <w:spacing w:after="20"/>
      </w:pPr>
    </w:p>
    <w:p>
      <w:r>
        <w:t>One index.js coordinates the steps. deploy.sh stages inputs, builds the container, and deploys one job; deployment does not start training. Python and model libraries are installed in the container, not Cloud Shell. After a successful deployment, run:</w:t>
      </w:r>
    </w:p>
    <w:p>
      <w:pPr>
        <w:spacing w:after="140" w:line="240" w:lineRule="auto"/>
      </w:pPr>
      <w:r>
        <w:rPr>
          <w:rFonts w:ascii="DejaVu Sans Mono" w:hAnsi="DejaVu Sans Mono"/>
          <w:sz w:val="18"/>
        </w:rPr>
        <w:t>gcloud run jobs execute my23-v5-ancestry-model \</w:t>
      </w:r>
      <w:r>
        <w:rPr>
          <w:rFonts w:ascii="DejaVu Sans Mono" w:hAnsi="DejaVu Sans Mono"/>
          <w:sz w:val="18"/>
        </w:rPr>
        <w:br/>
        <w:t xml:space="preserve">  --project=nih-nci-dceg-episphere-dev \</w:t>
      </w:r>
      <w:r>
        <w:rPr>
          <w:rFonts w:ascii="DejaVu Sans Mono" w:hAnsi="DejaVu Sans Mono"/>
          <w:sz w:val="18"/>
        </w:rPr>
        <w:br/>
        <w:t xml:space="preserve">  --region=us-east4 --args=all --async</w:t>
      </w:r>
    </w:p>
    <w:p>
      <w:r>
        <w:t>Use --args=train for steps 1-6 or --args=apply for Step 7 after training/testing completes. Restart the same deployed run after failure; completed outputs are verified and reused. Keep one execution per RUN_ID. The configured job has one task, 8 vCPU, 32 GiB, and a 24-hour timeout.</w:t>
      </w:r>
    </w:p>
    <w:p>
      <w:r>
        <w:rPr>
          <w:sz w:val="19"/>
        </w:rPr>
        <w:t>Version 1.0.1 updated bootstrap.py, config.json, tests/test_pipeline.py, README.md, VALIDATION.md, and package.json. index.js and deploy.sh were included unchanged. To continue the initial failed staging run, export RUN_ID=my23-20261028-153511 before rerunning deploy.sh with the updated package. No new model results are implied by the local tests.</w:t>
      </w:r>
    </w:p>
    <w:p>
      <w:pPr>
        <w:pStyle w:val="Heading2"/>
      </w:pPr>
      <w:r>
        <w:t>Method references</w:t>
      </w:r>
    </w:p>
    <w:p>
      <w:pPr>
        <w:spacing w:after="60"/>
      </w:pPr>
      <w:hyperlink r:id="rId17">
        <w:r>
          <w:rPr>
            <w:color w:val="165A8D"/>
            <w:u w:val="single"/>
          </w:rPr>
          <w:t>1 Mean filling</w:t>
        </w:r>
      </w:hyperlink>
      <w:r>
        <w:rPr>
          <w:sz w:val="19"/>
        </w:rPr>
        <w:t xml:space="preserve">  |  </w:t>
      </w:r>
      <w:hyperlink r:id="rId18">
        <w:r>
          <w:rPr>
            <w:color w:val="165A8D"/>
            <w:u w:val="single"/>
          </w:rPr>
          <w:t>2 Scaling</w:t>
        </w:r>
      </w:hyperlink>
    </w:p>
    <w:p>
      <w:pPr>
        <w:spacing w:after="60"/>
      </w:pPr>
      <w:hyperlink r:id="rId19">
        <w:r>
          <w:rPr>
            <w:color w:val="165A8D"/>
            <w:u w:val="single"/>
          </w:rPr>
          <w:t>3 PCA</w:t>
        </w:r>
      </w:hyperlink>
      <w:r>
        <w:rPr>
          <w:sz w:val="19"/>
        </w:rPr>
        <w:t xml:space="preserve">  |  </w:t>
      </w:r>
      <w:hyperlink r:id="rId20">
        <w:r>
          <w:rPr>
            <w:color w:val="165A8D"/>
            <w:u w:val="single"/>
          </w:rPr>
          <w:t>4 Logistic regression and C</w:t>
        </w:r>
      </w:hyperlink>
    </w:p>
    <w:p>
      <w:pPr>
        <w:spacing w:after="60"/>
      </w:pPr>
      <w:hyperlink r:id="rId21">
        <w:r>
          <w:rPr>
            <w:color w:val="165A8D"/>
            <w:u w:val="single"/>
          </w:rPr>
          <w:t>5 Grouped cross-validation</w:t>
        </w:r>
      </w:hyperlink>
      <w:r>
        <w:rPr>
          <w:sz w:val="19"/>
        </w:rPr>
        <w:t xml:space="preserve">  |  </w:t>
      </w:r>
      <w:hyperlink r:id="rId22">
        <w:r>
          <w:rPr>
            <w:color w:val="165A8D"/>
            <w:u w:val="single"/>
          </w:rPr>
          <w:t>6 Balanced accuracy</w:t>
        </w:r>
      </w:hyperlink>
    </w:p>
    <w:p>
      <w:pPr>
        <w:spacing w:after="60"/>
      </w:pPr>
      <w:hyperlink r:id="rId15">
        <w:r>
          <w:rPr>
            <w:color w:val="165A8D"/>
            <w:u w:val="single"/>
          </w:rPr>
          <w:t>7 Model persistence</w:t>
        </w:r>
      </w:hyperlink>
      <w:r>
        <w:rPr>
          <w:sz w:val="19"/>
        </w:rPr>
        <w:t xml:space="preserve">  |  </w:t>
      </w:r>
      <w:hyperlink r:id="rId23">
        <w:r>
          <w:rPr>
            <w:color w:val="165A8D"/>
            <w:u w:val="single"/>
          </w:rPr>
          <w:t>8 ONNX Runtime Web</w:t>
        </w:r>
      </w:hyperlink>
    </w:p>
    <w:p>
      <w:r>
        <w:rPr>
          <w:sz w:val="19"/>
        </w:rPr>
        <w:t>This guide follows source package version 1.0.1. Record the actual RUN_ID, selected SNP count, and new test metrics after execution.</w:t>
      </w:r>
    </w:p>
    <w:sectPr w:rsidR="00FC693F" w:rsidRPr="0006063C" w:rsidSect="00034616">
      <w:footerReference w:type="default" r:id="rId9"/>
      <w:pgSz w:w="12240" w:h="15840"/>
      <w:pgMar w:top="1008" w:right="1080" w:bottom="1008" w:left="1080"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bservablehq.com/@lorenasandoval88/23and-me-ancestry-inference" TargetMode="External"/><Relationship Id="rId11" Type="http://schemas.openxmlformats.org/officeDocument/2006/relationships/image" Target="media/image1.png"/><Relationship Id="rId12" Type="http://schemas.openxmlformats.org/officeDocument/2006/relationships/hyperlink" Target="https://docs.cloud.google.com/run/docs/create-jobs" TargetMode="External"/><Relationship Id="rId13" Type="http://schemas.openxmlformats.org/officeDocument/2006/relationships/hyperlink" Target="https://docs.cloud.google.com/run/docs/configuring/jobs/memory-limits" TargetMode="External"/><Relationship Id="rId14" Type="http://schemas.openxmlformats.org/officeDocument/2006/relationships/image" Target="media/image2.png"/><Relationship Id="rId15" Type="http://schemas.openxmlformats.org/officeDocument/2006/relationships/hyperlink" Target="https://scikit-learn.org/stable/model_persistence.html" TargetMode="External"/><Relationship Id="rId16" Type="http://schemas.openxmlformats.org/officeDocument/2006/relationships/image" Target="media/image3.png"/><Relationship Id="rId17" Type="http://schemas.openxmlformats.org/officeDocument/2006/relationships/hyperlink" Target="https://scikit-learn.org/1.7/modules/generated/sklearn.impute.SimpleImputer.html" TargetMode="External"/><Relationship Id="rId18" Type="http://schemas.openxmlformats.org/officeDocument/2006/relationships/hyperlink" Target="https://scikit-learn.org/1.7/modules/generated/sklearn.preprocessing.StandardScaler.html" TargetMode="External"/><Relationship Id="rId19" Type="http://schemas.openxmlformats.org/officeDocument/2006/relationships/hyperlink" Target="https://scikit-learn.org/1.7/modules/generated/sklearn.decomposition.PCA.html" TargetMode="External"/><Relationship Id="rId20" Type="http://schemas.openxmlformats.org/officeDocument/2006/relationships/hyperlink" Target="https://scikit-learn.org/1.7/modules/generated/sklearn.linear_model.LogisticRegression.html" TargetMode="External"/><Relationship Id="rId21" Type="http://schemas.openxmlformats.org/officeDocument/2006/relationships/hyperlink" Target="https://scikit-learn.org/1.7/modules/generated/sklearn.model_selection.StratifiedGroupKFold.html" TargetMode="External"/><Relationship Id="rId22" Type="http://schemas.openxmlformats.org/officeDocument/2006/relationships/hyperlink" Target="https://scikit-learn.org/stable/modules/generated/sklearn.metrics.balanced_accuracy_score.html" TargetMode="External"/><Relationship Id="rId23" Type="http://schemas.openxmlformats.org/officeDocument/2006/relationships/hyperlink" Target="https://onnxruntime.ai/docs/tutorials/web/build-web-ap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v5 ancestry pipeline steps 1 to 7</dc:title>
  <dc:subject>Single 2003-person classifier with 501 reference test people and ONNX browser deployment</dc:subject>
  <dc:creator/>
  <cp:keywords>my23_v5_ancestry_model, 23andMe v5, PCA, logistic regression, ONNX, 2003, 501</cp:keywords>
  <dc:description>generated by python-docx</dc:description>
  <cp:lastModifiedBy/>
  <cp:revision>1</cp:revision>
  <dcterms:created xsi:type="dcterms:W3CDTF">2013-12-23T23:15:00Z</dcterms:created>
  <dcterms:modified xsi:type="dcterms:W3CDTF">2013-12-23T23:15:00Z</dcterms:modified>
  <cp:category/>
</cp:coreProperties>
</file>