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SNPBag was built and trained</w:t>
      </w:r>
    </w:p>
    <w:p>
      <w:pPr>
        <w:pStyle w:val="Subtitle"/>
      </w:pPr>
      <w:r>
        <w:t>A methods guide to the data encoder genome embeddings and population classifier</w:t>
      </w:r>
    </w:p>
    <w:p>
      <w:r>
        <w:rPr>
          <w:sz w:val="19"/>
        </w:rPr>
        <w:t>28 October 2026</w:t>
      </w:r>
    </w:p>
    <w:p>
      <w:r>
        <w:t>SNPBag is a research model for learning patterns across SNP genotypes. This guide explains its published configuration, the reasoning behind the training stages, and what would be needed to adapt the approach to your v5 data. The paper is a preprint; its results need to be read with their experimental setting.</w:t>
      </w:r>
    </w:p>
    <w:p>
      <w:r>
        <w:rPr>
          <w:sz w:val="19"/>
        </w:rPr>
        <w:t>Paper scope: technical details below follow version 2 of DOI 10.1101/2025.01.29.635579. The repository links to version 3 under a revised title. Preserve the paper version when comparing results. [1, 2]</w:t>
      </w:r>
    </w:p>
    <w:p>
      <w:pPr>
        <w:pStyle w:val="Heading2"/>
      </w:pPr>
      <w:r>
        <w:t>Published configuration at a glance</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2232"/>
        <w:gridCol w:w="7848"/>
      </w:tblGrid>
      <w:tr>
        <w:trPr>
          <w:tblHeader/>
          <w:cantSplit/>
        </w:trPr>
        <w:tc>
          <w:tcPr>
            <w:tcW w:type="dxa" w:w="2232"/>
            <w:vAlign w:val="center"/>
            <w:tcMar>
              <w:top w:w="90" w:type="dxa"/>
              <w:bottom w:w="90" w:type="dxa"/>
              <w:left w:w="110" w:type="dxa"/>
              <w:right w:w="110" w:type="dxa"/>
            </w:tcMar>
            <w:shd w:fill="E8EEF3"/>
          </w:tcPr>
          <w:p>
            <w:pPr>
              <w:spacing w:before="20" w:after="40" w:line="250" w:lineRule="auto"/>
            </w:pPr>
            <w:r>
              <w:rPr>
                <w:b/>
                <w:sz w:val="20"/>
              </w:rPr>
              <w:t>Component</w:t>
            </w:r>
          </w:p>
        </w:tc>
        <w:tc>
          <w:tcPr>
            <w:tcW w:type="dxa" w:w="7848"/>
            <w:vAlign w:val="center"/>
            <w:tcMar>
              <w:top w:w="90" w:type="dxa"/>
              <w:bottom w:w="90" w:type="dxa"/>
              <w:left w:w="110" w:type="dxa"/>
              <w:right w:w="110" w:type="dxa"/>
            </w:tcMar>
            <w:shd w:fill="E8EEF3"/>
          </w:tcPr>
          <w:p>
            <w:pPr>
              <w:spacing w:before="20" w:after="40" w:line="250" w:lineRule="auto"/>
            </w:pPr>
            <w:r>
              <w:rPr>
                <w:b/>
                <w:sz w:val="20"/>
              </w:rPr>
              <w:t>Reported configuration</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Training resource</w:t>
            </w:r>
          </w:p>
        </w:tc>
        <w:tc>
          <w:tcPr>
            <w:tcW w:type="dxa" w:w="7848"/>
            <w:vAlign w:val="center"/>
            <w:tcMar>
              <w:top w:w="90" w:type="dxa"/>
              <w:bottom w:w="90" w:type="dxa"/>
              <w:left w:w="110" w:type="dxa"/>
              <w:right w:w="110" w:type="dxa"/>
            </w:tcMar>
            <w:shd w:fill="FFFFFF"/>
          </w:tcPr>
          <w:p>
            <w:pPr>
              <w:spacing w:before="20" w:after="40" w:line="250" w:lineRule="auto"/>
            </w:pPr>
            <w:r>
              <w:rPr>
                <w:b w:val="0"/>
                <w:sz w:val="20"/>
              </w:rPr>
              <w:t>One million synthetic genomes; whole-genome resource derived from 1000 Genomes and HGDP through HAPNEST.</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Variant panel</w:t>
            </w:r>
          </w:p>
        </w:tc>
        <w:tc>
          <w:tcPr>
            <w:tcW w:type="dxa" w:w="7848"/>
            <w:vAlign w:val="center"/>
            <w:tcMar>
              <w:top w:w="90" w:type="dxa"/>
              <w:bottom w:w="90" w:type="dxa"/>
              <w:left w:w="110" w:type="dxa"/>
              <w:right w:w="110" w:type="dxa"/>
            </w:tcMar>
            <w:shd w:fill="F7F8FA"/>
          </w:tcPr>
          <w:p>
            <w:pPr>
              <w:spacing w:before="20" w:after="40" w:line="250" w:lineRule="auto"/>
            </w:pPr>
            <w:r>
              <w:rPr>
                <w:b w:val="0"/>
                <w:sz w:val="20"/>
              </w:rPr>
              <w:t>6,030,514 shared SNPs; minor allele frequency above 1%.</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Base models</w:t>
            </w:r>
          </w:p>
        </w:tc>
        <w:tc>
          <w:tcPr>
            <w:tcW w:type="dxa" w:w="7848"/>
            <w:vAlign w:val="center"/>
            <w:tcMar>
              <w:top w:w="90" w:type="dxa"/>
              <w:bottom w:w="90" w:type="dxa"/>
              <w:left w:w="110" w:type="dxa"/>
              <w:right w:w="110" w:type="dxa"/>
            </w:tcMar>
            <w:shd w:fill="FFFFFF"/>
          </w:tcPr>
          <w:p>
            <w:pPr>
              <w:spacing w:before="20" w:after="40" w:line="250" w:lineRule="auto"/>
            </w:pPr>
            <w:r>
              <w:rPr>
                <w:b w:val="0"/>
                <w:sz w:val="20"/>
              </w:rPr>
              <w:t>Chromosome 22 about 38 million parameters; whole-genome about 836 million.</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Transformer</w:t>
            </w:r>
          </w:p>
        </w:tc>
        <w:tc>
          <w:tcPr>
            <w:tcW w:type="dxa" w:w="7848"/>
            <w:vAlign w:val="center"/>
            <w:tcMar>
              <w:top w:w="90" w:type="dxa"/>
              <w:bottom w:w="90" w:type="dxa"/>
              <w:left w:w="110" w:type="dxa"/>
              <w:right w:w="110" w:type="dxa"/>
            </w:tcMar>
            <w:shd w:fill="F7F8FA"/>
          </w:tcPr>
          <w:p>
            <w:pPr>
              <w:spacing w:before="20" w:after="40" w:line="250" w:lineRule="auto"/>
            </w:pPr>
            <w:r>
              <w:rPr>
                <w:b w:val="0"/>
                <w:sz w:val="20"/>
              </w:rPr>
              <w:t>16 layers; 16 attention heads; hidden width 512; sequences of 81,920 SNP tokens.</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Input codes</w:t>
            </w:r>
          </w:p>
        </w:tc>
        <w:tc>
          <w:tcPr>
            <w:tcW w:type="dxa" w:w="7848"/>
            <w:vAlign w:val="center"/>
            <w:tcMar>
              <w:top w:w="90" w:type="dxa"/>
              <w:bottom w:w="90" w:type="dxa"/>
              <w:left w:w="110" w:type="dxa"/>
              <w:right w:w="110" w:type="dxa"/>
            </w:tcMar>
            <w:shd w:fill="FFFFFF"/>
          </w:tcPr>
          <w:p>
            <w:pPr>
              <w:spacing w:before="20" w:after="40" w:line="250" w:lineRule="auto"/>
            </w:pPr>
            <w:r>
              <w:rPr>
                <w:b w:val="0"/>
                <w:sz w:val="20"/>
              </w:rPr>
              <w:t>0, 1, 2 derived-allele counts; mask token 3; SNP identity supplied.</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Pretraining</w:t>
            </w:r>
          </w:p>
        </w:tc>
        <w:tc>
          <w:tcPr>
            <w:tcW w:type="dxa" w:w="7848"/>
            <w:vAlign w:val="center"/>
            <w:tcMar>
              <w:top w:w="90" w:type="dxa"/>
              <w:bottom w:w="90" w:type="dxa"/>
              <w:left w:w="110" w:type="dxa"/>
              <w:right w:w="110" w:type="dxa"/>
            </w:tcMar>
            <w:shd w:fill="F7F8FA"/>
          </w:tcPr>
          <w:p>
            <w:pPr>
              <w:spacing w:before="20" w:after="40" w:line="250" w:lineRule="auto"/>
            </w:pPr>
            <w:r>
              <w:rPr>
                <w:b w:val="0"/>
                <w:sz w:val="20"/>
              </w:rPr>
              <w:t>Randomly hide 85 to 99% of genotypes and reconstruct them.</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Genome embedding</w:t>
            </w:r>
          </w:p>
        </w:tc>
        <w:tc>
          <w:tcPr>
            <w:tcW w:type="dxa" w:w="7848"/>
            <w:vAlign w:val="center"/>
            <w:tcMar>
              <w:top w:w="90" w:type="dxa"/>
              <w:bottom w:w="90" w:type="dxa"/>
              <w:left w:w="110" w:type="dxa"/>
              <w:right w:w="110" w:type="dxa"/>
            </w:tcMar>
            <w:shd w:fill="FFFFFF"/>
          </w:tcPr>
          <w:p>
            <w:pPr>
              <w:spacing w:before="20" w:after="40" w:line="250" w:lineRule="auto"/>
            </w:pPr>
            <w:r>
              <w:rPr>
                <w:b w:val="0"/>
                <w:sz w:val="20"/>
              </w:rPr>
              <w:t>2,934 blocks of 2,048 SNPs; 128 numbers per block; 75 to 85% masking during embedding training.</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Population evaluation</w:t>
            </w:r>
          </w:p>
        </w:tc>
        <w:tc>
          <w:tcPr>
            <w:tcW w:type="dxa" w:w="7848"/>
            <w:vAlign w:val="center"/>
            <w:tcMar>
              <w:top w:w="90" w:type="dxa"/>
              <w:bottom w:w="90" w:type="dxa"/>
              <w:left w:w="110" w:type="dxa"/>
              <w:right w:w="110" w:type="dxa"/>
            </w:tcMar>
            <w:shd w:fill="F7F8FA"/>
          </w:tcPr>
          <w:p>
            <w:pPr>
              <w:spacing w:before="20" w:after="40" w:line="250" w:lineRule="auto"/>
            </w:pPr>
            <w:r>
              <w:rPr>
                <w:b w:val="0"/>
                <w:sz w:val="20"/>
              </w:rPr>
              <w:t>Separate classifier; 3,202 real people; 10 repetitions of five-fold cross-validation.</w:t>
            </w:r>
          </w:p>
        </w:tc>
      </w:tr>
    </w:tbl>
    <w:p>
      <w:pPr>
        <w:spacing w:after="20"/>
      </w:pPr>
    </w:p>
    <w:p>
      <w:r>
        <w:rPr>
          <w:sz w:val="19"/>
        </w:rPr>
        <w:t>Configuration source [1]. These figures describe the published research setup, not a model already trained on your 2,003 people.</w:t>
      </w:r>
    </w:p>
    <w:p>
      <w:r>
        <w:t>An encoder learns genetic features, a reconstruction decoder supplies a training task, and a downstream classifier connects features to population labels. The following sections unpack those roles and their practical consequences.</w:t>
      </w:r>
    </w:p>
    <w:p>
      <w:r>
        <w:br w:type="page"/>
      </w:r>
    </w:p>
    <w:p>
      <w:pPr>
        <w:pStyle w:val="Heading1"/>
      </w:pPr>
      <w:r>
        <w:t>The training data and why synthetic genomes help</w:t>
      </w:r>
    </w:p>
    <w:p>
      <w:pPr>
        <w:pStyle w:val="Heading2"/>
      </w:pPr>
      <w:r>
        <w:t>What synthetic means</w:t>
      </w:r>
    </w:p>
    <w:p>
      <w:r>
        <w:t>A synthetic genotype profile is a simulated genetic record. A reference-based simulator constructs it from patterns in real reference data. This increases the number of training examples while retaining selected properties of the underlying genetic variation. It does not create an equally large set of independently recruited people.</w:t>
      </w:r>
    </w:p>
    <w:p>
      <w:r>
        <w:t>HAPNEST builds paired synthetic haplotypes as mosaics of reference haplotype segments and introduces variation through its generative model. Its evaluation examines allele frequencies, population structure, linkage disequilibrium, and similarity to the source data. Those checks help determine whether the simulated profiles are useful for a planned experiment. [3]</w:t>
      </w:r>
    </w:p>
    <w:p>
      <w:pPr>
        <w:pStyle w:val="Heading2"/>
      </w:pPr>
      <w:r>
        <w:t>Haplotypes and linkage disequilibrium</w:t>
      </w:r>
    </w:p>
    <w:p>
      <w:r>
        <w:t>A haplotype describes alleles carried along one chromosome copy. A diploid genotype combines the two copies. Nearby SNPs can travel together through inheritance, creating correlations called linkage disequilibrium or LD. A model that learns these correlations can sometimes recover a hidden genotype from the surrounding observed pattern.</w:t>
      </w:r>
    </w:p>
    <w:p>
      <w:r>
        <w:t>A simple shuffle of each SNP column would preserve its allele frequency but destroy much of the correlation between sites. That would produce misleading examples for a model intended to learn inherited SNP patterns. A suitable simulator must be judged against the task and the reference populations it represents.</w:t>
      </w:r>
    </w:p>
    <w:p>
      <w:pPr>
        <w:pStyle w:val="Heading2"/>
      </w:pPr>
      <w:r>
        <w:t>Limits of synthetic training</w:t>
      </w:r>
    </w:p>
    <w:p>
      <w:r>
        <w:t>More simulated records cannot add all the diversity missing from their founders. Source population imbalance, rare-variant coverage, and simulation assumptions can carry into the learned representation. Increasing simulated sample count also does not make evaluation on the founders independent of training.</w:t>
      </w:r>
    </w:p>
    <w:p>
      <w:r>
        <w:t>HAPNEST's authors did not establish a differential-privacy guarantee and advise using reference-based simulation on publicly available genomic data. Simulation should not be described as automatically removing every privacy concern. [3]</w:t>
      </w:r>
    </w:p>
    <w:p>
      <w:pPr>
        <w:pStyle w:val="Heading2"/>
      </w:pPr>
      <w:r>
        <w:t>What this means for your 2003 and 501 people</w:t>
      </w:r>
    </w:p>
    <w:p>
      <w:r>
        <w:t>If you simulate data for your own train/test experiment, use training people as founders and keep the held-out people out of that process. A first small reconstruction experiment can use the real training genotypes directly. Synthetic augmentation is an option to test later; it is not a prerequisite for producing embeddings.</w:t>
      </w:r>
    </w:p>
    <w:p>
      <w:r>
        <w:br w:type="page"/>
      </w:r>
    </w:p>
    <w:p>
      <w:pPr>
        <w:pStyle w:val="Heading1"/>
      </w:pPr>
      <w:r>
        <w:t>How SNP values become transformer inputs</w:t>
      </w:r>
    </w:p>
    <w:p>
      <w:pPr>
        <w:pStyle w:val="Heading2"/>
      </w:pPr>
      <w:r>
        <w:t>Every measurement needs its SNP identity</w:t>
      </w:r>
    </w:p>
    <w:p>
      <w:r>
        <w:t>A genotype count alone is incomplete. The model needs to know which biological site it describes and which allele is being counted. The count of 2 at one SNP is a different measurement from a count of 2 at another SNP.</w:t>
      </w:r>
    </w:p>
    <w:p>
      <w:r>
        <w:t>Consider three invented sites: site A has count 0, site B has count 1, and site C has count 2. Their identities and values are converted to learned numerical vectors. The vectors let a neural network process categorical observations without treating a file name or a raw text line as genetic meaning.</w:t>
      </w:r>
    </w:p>
    <w:p>
      <w:pPr>
        <w:pStyle w:val="Heading2"/>
      </w:pPr>
      <w:r>
        <w:t>The encoder combines information across sites</w:t>
      </w:r>
    </w:p>
    <w:p>
      <w:r>
        <w:t>A transformer encoder updates each site's representation using information from other sites. Attention is the learned mechanism that determines which available representations contribute to that update. Multiple heads provide several learned combinations; stacked layers allow the representation to change through successive calculations. BERT established a bidirectional encoder framework that learns from context on both sides of a masked item. [4]</w:t>
      </w:r>
    </w:p>
    <w:p>
      <w:r>
        <w:t>Local attention restricts the sites compared directly in one layer. This controls the cost of very long inputs. Such a design should not be interpreted as every SNP directly attending to every other genomic position. Processing more chromosomes also requires an explicit input and aggregation strategy.</w:t>
      </w:r>
    </w:p>
    <w:p>
      <w:pPr>
        <w:pStyle w:val="Heading2"/>
      </w:pPr>
      <w:r>
        <w:t>Reference allele is not the same as derived allele</w:t>
      </w:r>
    </w:p>
    <w:p>
      <w:r>
        <w:t>REF is the allele recorded in a particular reference assembly and variant record. Derived describes an evolutionary allele assignment. They can be different. A numeric profile cannot be transferred between models by assuming all 0, 1, and 2 codes mean the same allele.</w:t>
      </w:r>
    </w:p>
    <w:p>
      <w:r>
        <w:t>Your existing classifier counts reference-allele copies. Any SNPBag implementation or adaptation would need an explicit mapping between its saved SNP vocabulary and the counted allele in your prepared genotype files. Genome build, chromosome, position, and allele definitions must agree before constructing model inputs.</w:t>
      </w:r>
    </w:p>
    <w:p>
      <w:pPr>
        <w:pStyle w:val="Heading2"/>
      </w:pPr>
      <w:r>
        <w:t>A missing value needs a defined representation</w:t>
      </w:r>
    </w:p>
    <w:p>
      <w:r>
        <w:t>A deliberately hidden training value and a missing observation in an uploaded genotype file have different origins. Their handling must match the model's implementation. Neither should silently become genotype 0. Document how unknown sites, no-calls, duplicates, and incompatible alleles are represented.</w:t>
      </w:r>
    </w:p>
    <w:p>
      <w:r>
        <w:br w:type="page"/>
      </w:r>
    </w:p>
    <w:p>
      <w:pPr>
        <w:pStyle w:val="Heading1"/>
      </w:pPr>
      <w:r>
        <w:t>The reconstruction task teaches genetic patterns</w:t>
      </w:r>
    </w:p>
    <w:p>
      <w:pPr>
        <w:pStyle w:val="Heading2"/>
      </w:pPr>
      <w:r>
        <w:t>The learning loop</w:t>
      </w:r>
    </w:p>
    <w:p>
      <w:pPr>
        <w:pStyle w:val="ListBullet"/>
        <w:spacing w:after="100"/>
      </w:pPr>
      <w:r>
        <w:t>Take a batch of genotype profiles with observed values available as targets.</w:t>
      </w:r>
    </w:p>
    <w:p>
      <w:pPr>
        <w:pStyle w:val="ListBullet"/>
        <w:spacing w:after="100"/>
      </w:pPr>
      <w:r>
        <w:t>Hide a randomly selected subset while preserving each SNP's identity.</w:t>
      </w:r>
    </w:p>
    <w:p>
      <w:pPr>
        <w:pStyle w:val="ListBullet"/>
        <w:spacing w:after="100"/>
      </w:pPr>
      <w:r>
        <w:t>Pass the visible values and hidden-value indicators through the encoder.</w:t>
      </w:r>
    </w:p>
    <w:p>
      <w:pPr>
        <w:pStyle w:val="ListBullet"/>
        <w:spacing w:after="100"/>
      </w:pPr>
      <w:r>
        <w:t>Use the decoder to predict the possible genotype categories at the hidden sites.</w:t>
      </w:r>
    </w:p>
    <w:p>
      <w:pPr>
        <w:pStyle w:val="ListBullet"/>
        <w:spacing w:after="100"/>
      </w:pPr>
      <w:r>
        <w:t>Compare those predictions with the original observed values and update the trainable weights.</w:t>
      </w:r>
    </w:p>
    <w:p>
      <w:r>
        <w:t>The target is a genotype category, so the model can assign probabilities to the possibilities. A cross-entropy objective penalizes low probability on the correct category. The illustration below explains that objective without reporting a result from the paper.</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1872"/>
        <w:gridCol w:w="2880"/>
        <w:gridCol w:w="5328"/>
      </w:tblGrid>
      <w:tr>
        <w:trPr>
          <w:tblHeader/>
          <w:cantSplit/>
        </w:trPr>
        <w:tc>
          <w:tcPr>
            <w:tcW w:type="dxa" w:w="1872"/>
            <w:vAlign w:val="center"/>
            <w:tcMar>
              <w:top w:w="90" w:type="dxa"/>
              <w:bottom w:w="90" w:type="dxa"/>
              <w:left w:w="110" w:type="dxa"/>
              <w:right w:w="110" w:type="dxa"/>
            </w:tcMar>
            <w:shd w:fill="E8EEF3"/>
          </w:tcPr>
          <w:p>
            <w:pPr>
              <w:spacing w:before="20" w:after="40" w:line="250" w:lineRule="auto"/>
            </w:pPr>
            <w:r>
              <w:rPr>
                <w:b/>
                <w:sz w:val="20"/>
              </w:rPr>
              <w:t>Hidden true genotype</w:t>
            </w:r>
          </w:p>
        </w:tc>
        <w:tc>
          <w:tcPr>
            <w:tcW w:type="dxa" w:w="2880"/>
            <w:vAlign w:val="center"/>
            <w:tcMar>
              <w:top w:w="90" w:type="dxa"/>
              <w:bottom w:w="90" w:type="dxa"/>
              <w:left w:w="110" w:type="dxa"/>
              <w:right w:w="110" w:type="dxa"/>
            </w:tcMar>
            <w:shd w:fill="E8EEF3"/>
          </w:tcPr>
          <w:p>
            <w:pPr>
              <w:spacing w:before="20" w:after="40" w:line="250" w:lineRule="auto"/>
            </w:pPr>
            <w:r>
              <w:rPr>
                <w:b/>
                <w:sz w:val="20"/>
              </w:rPr>
              <w:t>Example prediction</w:t>
            </w:r>
          </w:p>
        </w:tc>
        <w:tc>
          <w:tcPr>
            <w:tcW w:type="dxa" w:w="5328"/>
            <w:vAlign w:val="center"/>
            <w:tcMar>
              <w:top w:w="90" w:type="dxa"/>
              <w:bottom w:w="90" w:type="dxa"/>
              <w:left w:w="110" w:type="dxa"/>
              <w:right w:w="110" w:type="dxa"/>
            </w:tcMar>
            <w:shd w:fill="E8EEF3"/>
          </w:tcPr>
          <w:p>
            <w:pPr>
              <w:spacing w:before="20" w:after="40" w:line="250" w:lineRule="auto"/>
            </w:pPr>
            <w:r>
              <w:rPr>
                <w:b/>
                <w:sz w:val="20"/>
              </w:rPr>
              <w:t>Interpretation</w:t>
            </w:r>
          </w:p>
        </w:tc>
      </w:tr>
      <w:tr>
        <w:trPr>
          <w:cantSplit/>
        </w:trPr>
        <w:tc>
          <w:tcPr>
            <w:tcW w:type="dxa" w:w="1872"/>
            <w:vAlign w:val="center"/>
            <w:tcMar>
              <w:top w:w="90" w:type="dxa"/>
              <w:bottom w:w="90" w:type="dxa"/>
              <w:left w:w="110" w:type="dxa"/>
              <w:right w:w="110" w:type="dxa"/>
            </w:tcMar>
            <w:shd w:fill="FFFFFF"/>
          </w:tcPr>
          <w:p>
            <w:pPr>
              <w:spacing w:before="20" w:after="40" w:line="250" w:lineRule="auto"/>
            </w:pPr>
            <w:r>
              <w:rPr>
                <w:b w:val="0"/>
                <w:sz w:val="20"/>
              </w:rPr>
              <w:t>1</w:t>
            </w:r>
          </w:p>
        </w:tc>
        <w:tc>
          <w:tcPr>
            <w:tcW w:type="dxa" w:w="2880"/>
            <w:vAlign w:val="center"/>
            <w:tcMar>
              <w:top w:w="90" w:type="dxa"/>
              <w:bottom w:w="90" w:type="dxa"/>
              <w:left w:w="110" w:type="dxa"/>
              <w:right w:w="110" w:type="dxa"/>
            </w:tcMar>
            <w:shd w:fill="FFFFFF"/>
          </w:tcPr>
          <w:p>
            <w:pPr>
              <w:spacing w:before="20" w:after="40" w:line="250" w:lineRule="auto"/>
            </w:pPr>
            <w:r>
              <w:rPr>
                <w:b w:val="0"/>
                <w:sz w:val="20"/>
              </w:rPr>
              <w:t>Most probability on 1</w:t>
            </w:r>
          </w:p>
        </w:tc>
        <w:tc>
          <w:tcPr>
            <w:tcW w:type="dxa" w:w="5328"/>
            <w:vAlign w:val="center"/>
            <w:tcMar>
              <w:top w:w="90" w:type="dxa"/>
              <w:bottom w:w="90" w:type="dxa"/>
              <w:left w:w="110" w:type="dxa"/>
              <w:right w:w="110" w:type="dxa"/>
            </w:tcMar>
            <w:shd w:fill="FFFFFF"/>
          </w:tcPr>
          <w:p>
            <w:pPr>
              <w:spacing w:before="20" w:after="40" w:line="250" w:lineRule="auto"/>
            </w:pPr>
            <w:r>
              <w:rPr>
                <w:b w:val="0"/>
                <w:sz w:val="20"/>
              </w:rPr>
              <w:t>The model assigns high confidence to the correct category.</w:t>
            </w:r>
          </w:p>
        </w:tc>
      </w:tr>
      <w:tr>
        <w:trPr>
          <w:cantSplit/>
        </w:trPr>
        <w:tc>
          <w:tcPr>
            <w:tcW w:type="dxa" w:w="1872"/>
            <w:vAlign w:val="center"/>
            <w:tcMar>
              <w:top w:w="90" w:type="dxa"/>
              <w:bottom w:w="90" w:type="dxa"/>
              <w:left w:w="110" w:type="dxa"/>
              <w:right w:w="110" w:type="dxa"/>
            </w:tcMar>
            <w:shd w:fill="F7F8FA"/>
          </w:tcPr>
          <w:p>
            <w:pPr>
              <w:spacing w:before="20" w:after="40" w:line="250" w:lineRule="auto"/>
            </w:pPr>
            <w:r>
              <w:rPr>
                <w:b w:val="0"/>
                <w:sz w:val="20"/>
              </w:rPr>
              <w:t>1</w:t>
            </w:r>
          </w:p>
        </w:tc>
        <w:tc>
          <w:tcPr>
            <w:tcW w:type="dxa" w:w="2880"/>
            <w:vAlign w:val="center"/>
            <w:tcMar>
              <w:top w:w="90" w:type="dxa"/>
              <w:bottom w:w="90" w:type="dxa"/>
              <w:left w:w="110" w:type="dxa"/>
              <w:right w:w="110" w:type="dxa"/>
            </w:tcMar>
            <w:shd w:fill="F7F8FA"/>
          </w:tcPr>
          <w:p>
            <w:pPr>
              <w:spacing w:before="20" w:after="40" w:line="250" w:lineRule="auto"/>
            </w:pPr>
            <w:r>
              <w:rPr>
                <w:b w:val="0"/>
                <w:sz w:val="20"/>
              </w:rPr>
              <w:t>Most probability on 0</w:t>
            </w:r>
          </w:p>
        </w:tc>
        <w:tc>
          <w:tcPr>
            <w:tcW w:type="dxa" w:w="5328"/>
            <w:vAlign w:val="center"/>
            <w:tcMar>
              <w:top w:w="90" w:type="dxa"/>
              <w:bottom w:w="90" w:type="dxa"/>
              <w:left w:w="110" w:type="dxa"/>
              <w:right w:w="110" w:type="dxa"/>
            </w:tcMar>
            <w:shd w:fill="F7F8FA"/>
          </w:tcPr>
          <w:p>
            <w:pPr>
              <w:spacing w:before="20" w:after="40" w:line="250" w:lineRule="auto"/>
            </w:pPr>
            <w:r>
              <w:rPr>
                <w:b w:val="0"/>
                <w:sz w:val="20"/>
              </w:rPr>
              <w:t>The reconstruction error encourages a weight update.</w:t>
            </w:r>
          </w:p>
        </w:tc>
      </w:tr>
      <w:tr>
        <w:trPr>
          <w:cantSplit/>
        </w:trPr>
        <w:tc>
          <w:tcPr>
            <w:tcW w:type="dxa" w:w="1872"/>
            <w:vAlign w:val="center"/>
            <w:tcMar>
              <w:top w:w="90" w:type="dxa"/>
              <w:bottom w:w="90" w:type="dxa"/>
              <w:left w:w="110" w:type="dxa"/>
              <w:right w:w="110" w:type="dxa"/>
            </w:tcMar>
            <w:shd w:fill="FFFFFF"/>
          </w:tcPr>
          <w:p>
            <w:pPr>
              <w:spacing w:before="20" w:after="40" w:line="250" w:lineRule="auto"/>
            </w:pPr>
            <w:r>
              <w:rPr>
                <w:b w:val="0"/>
                <w:sz w:val="20"/>
              </w:rPr>
              <w:t>1</w:t>
            </w:r>
          </w:p>
        </w:tc>
        <w:tc>
          <w:tcPr>
            <w:tcW w:type="dxa" w:w="2880"/>
            <w:vAlign w:val="center"/>
            <w:tcMar>
              <w:top w:w="90" w:type="dxa"/>
              <w:bottom w:w="90" w:type="dxa"/>
              <w:left w:w="110" w:type="dxa"/>
              <w:right w:w="110" w:type="dxa"/>
            </w:tcMar>
            <w:shd w:fill="FFFFFF"/>
          </w:tcPr>
          <w:p>
            <w:pPr>
              <w:spacing w:before="20" w:after="40" w:line="250" w:lineRule="auto"/>
            </w:pPr>
            <w:r>
              <w:rPr>
                <w:b w:val="0"/>
                <w:sz w:val="20"/>
              </w:rPr>
              <w:t>Similar probabilities for 0 1 and 2</w:t>
            </w:r>
          </w:p>
        </w:tc>
        <w:tc>
          <w:tcPr>
            <w:tcW w:type="dxa" w:w="5328"/>
            <w:vAlign w:val="center"/>
            <w:tcMar>
              <w:top w:w="90" w:type="dxa"/>
              <w:bottom w:w="90" w:type="dxa"/>
              <w:left w:w="110" w:type="dxa"/>
              <w:right w:w="110" w:type="dxa"/>
            </w:tcMar>
            <w:shd w:fill="FFFFFF"/>
          </w:tcPr>
          <w:p>
            <w:pPr>
              <w:spacing w:before="20" w:after="40" w:line="250" w:lineRule="auto"/>
            </w:pPr>
            <w:r>
              <w:rPr>
                <w:b w:val="0"/>
                <w:sz w:val="20"/>
              </w:rPr>
              <w:t>The model is uncertain; a hard call hides that uncertainty.</w:t>
            </w:r>
          </w:p>
        </w:tc>
      </w:tr>
    </w:tbl>
    <w:p>
      <w:pPr>
        <w:spacing w:after="20"/>
      </w:pPr>
    </w:p>
    <w:p>
      <w:pPr>
        <w:pStyle w:val="Heading2"/>
      </w:pPr>
      <w:r>
        <w:t>Why many hidden sites can be useful</w:t>
      </w:r>
    </w:p>
    <w:p>
      <w:r>
        <w:t>A demanding mask pattern encourages the model to use relationships among the remaining observations. If the task can be solved by copying visible values, it teaches less about reconstructing absent ones. Too little remaining information can also make a site intrinsically difficult to predict.</w:t>
      </w:r>
    </w:p>
    <w:p>
      <w:r>
        <w:t>A common genotype can produce high average recovery even when rarer genotype categories are poorly reconstructed. A careful evaluation therefore checks variation by allele frequency and population, as well as overall concordance. A single reconstruction percentage does not describe every SNP or person equally well.</w:t>
      </w:r>
    </w:p>
    <w:p>
      <w:pPr>
        <w:pStyle w:val="Heading2"/>
      </w:pPr>
      <w:r>
        <w:t>What an epoch means</w:t>
      </w:r>
    </w:p>
    <w:p>
      <w:r>
        <w:t>An epoch is one pass through the defined training dataset. The whole-genome report describes 0.2 epoch, or about 200,000 individuals processed, rather than a complete pass through the million-profile resource. [1] Record training steps, examples processed, masking strategy, batch size, and validation behavior when comparing implementations.</w:t>
      </w:r>
    </w:p>
    <w:p>
      <w:r>
        <w:br w:type="page"/>
      </w:r>
    </w:p>
    <w:p>
      <w:pPr>
        <w:pStyle w:val="Heading1"/>
      </w:pPr>
      <w:r>
        <w:t>Turning contextual SNP features into a genome embedding</w:t>
      </w:r>
    </w:p>
    <w:p>
      <w:pPr>
        <w:pStyle w:val="Heading2"/>
      </w:pPr>
      <w:r>
        <w:t>Compression introduces a bottleneck</w:t>
      </w:r>
    </w:p>
    <w:p>
      <w:r>
        <w:t>The encoder initially produces many features associated with many SNPs. An embedding head compresses those contextual features into a shorter numerical description. A decoder then tries to reconstruct genotypes from that description. This creates pressure to preserve information useful for reconstruction.</w:t>
      </w:r>
    </w:p>
    <w:p>
      <w:r>
        <w:t>In the reported embedding head, two MLPs compress the sequence dimension to 16 and the feature dimension to 8; the resulting block is flattened. A reconstruction decoder trains the representation. Concatenated block embeddings form the genome vector. [1]</w:t>
      </w:r>
    </w:p>
    <w:p>
      <w:pPr>
        <w:pStyle w:val="Heading2"/>
      </w:pPr>
      <w:r>
        <w:t>What the dimensions mean</w:t>
      </w:r>
    </w:p>
    <w:p>
      <w:r>
        <w:t>The sequence dimension counts the SNP positions being processed. The feature dimension counts learned numerical features per position. Reducing these dimensions describes compression along two axes. Flattening lays the remaining entries into one vector. Concatenating places vectors from genomic blocks end to end in a defined order.</w:t>
      </w:r>
    </w:p>
    <w:p>
      <w:r>
        <w:t>An MLP is a multilayer perceptron, a neural network made from learned transformations and nonlinear activation functions. The embedding head and reconstruction decoder serve different roles: one compresses information, while the other creates a measurable target for learning.</w:t>
      </w:r>
    </w:p>
    <w:p>
      <w:pPr>
        <w:pStyle w:val="Heading2"/>
      </w:pPr>
      <w:r>
        <w:t>Why the embedding is not a set of ancestry percentages</w:t>
      </w:r>
    </w:p>
    <w:p>
      <w:r>
        <w:t>A vector coordinate has meaning through the learned model and its relationship to other coordinates. It is not automatically the fraction of a particular ancestry, the dosage of one named SNP, or a disease-risk contribution. An additional analysis is needed to connect that vector with population labels or other outcomes.</w:t>
      </w:r>
    </w:p>
    <w:p>
      <w:r>
        <w:t>A compact representation can support storage, similarity analysis, and predictive models. Compression also discards or transforms information. Its usefulness must be measured for the intended task rather than inferred from a small file size.</w:t>
      </w:r>
    </w:p>
    <w:p>
      <w:pPr>
        <w:pStyle w:val="Heading2"/>
      </w:pPr>
      <w:r>
        <w:t>How this differs from your PCA representation</w:t>
      </w:r>
    </w:p>
    <w:p>
      <w:r>
        <w:t>PCA learns linear combinations that summarize variation in the training data. A reconstruction neural network learns a potentially nonlinear representation under a chosen training objective. Neither method is guaranteed to be superior for your sample size or SNP panel. A fair comparison starts with the same sites and people and keeps the test data out of fitting.</w:t>
      </w:r>
    </w:p>
    <w:p>
      <w:r>
        <w:t>Changing chromosomes, SNP coverage, allele coding, or the compression method changes the experiment. A v5-only adaptation must report its own configuration and results rather than inherit the published full-panel model's performance.</w:t>
      </w:r>
    </w:p>
    <w:p>
      <w:r>
        <w:br w:type="page"/>
      </w:r>
    </w:p>
    <w:p>
      <w:pPr>
        <w:pStyle w:val="Heading1"/>
      </w:pPr>
      <w:r>
        <w:t>Downstream tasks and how to interpret the evidence</w:t>
      </w:r>
    </w:p>
    <w:p>
      <w:pPr>
        <w:pStyle w:val="Heading2"/>
      </w:pPr>
      <w:r>
        <w:t>Population classification uses labeled examples</w:t>
      </w:r>
    </w:p>
    <w:p>
      <w:r>
        <w:t>The classifier takes embeddings as its input and learns to predict the reference labels. The reported 19-group F1 was 0.861. The confusion matrix uses expected populations as columns and predictions as rows. [1]</w:t>
      </w:r>
    </w:p>
    <w:p>
      <w:r>
        <w:t>This is supervised evaluation of predefined categories. An F1 score combines precision and recall; it is not interchangeable with overall accuracy. Fine population categories create a harder prediction problem than broad reference groups. Comparisons need matching people, labels, markers, and evaluation design.</w:t>
      </w:r>
    </w:p>
    <w:p>
      <w:pPr>
        <w:pStyle w:val="Heading2"/>
      </w:pPr>
      <w:r>
        <w:t>Clustering and visualization ask different questions</w:t>
      </w:r>
    </w:p>
    <w:p>
      <w:r>
        <w:t>A visualization projects vectors to a small number of display coordinates. A clustering algorithm explicitly assigns groups according to an objective. Coloring a plot with population labels can reveal associations, but does not by itself establish a clustering score or prospective classification accuracy. [5]</w:t>
      </w:r>
    </w:p>
    <w:p>
      <w:pPr>
        <w:pStyle w:val="Heading2"/>
      </w:pPr>
      <w:r>
        <w:t>Other tasks use different targets</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2160"/>
        <w:gridCol w:w="3600"/>
        <w:gridCol w:w="4320"/>
      </w:tblGrid>
      <w:tr>
        <w:trPr>
          <w:tblHeader/>
          <w:cantSplit/>
        </w:trPr>
        <w:tc>
          <w:tcPr>
            <w:tcW w:type="dxa" w:w="2160"/>
            <w:vAlign w:val="center"/>
            <w:tcMar>
              <w:top w:w="90" w:type="dxa"/>
              <w:bottom w:w="90" w:type="dxa"/>
              <w:left w:w="110" w:type="dxa"/>
              <w:right w:w="110" w:type="dxa"/>
            </w:tcMar>
            <w:shd w:fill="E8EEF3"/>
          </w:tcPr>
          <w:p>
            <w:pPr>
              <w:spacing w:before="20" w:after="40" w:line="250" w:lineRule="auto"/>
            </w:pPr>
            <w:r>
              <w:rPr>
                <w:b/>
                <w:sz w:val="20"/>
              </w:rPr>
              <w:t>Task</w:t>
            </w:r>
          </w:p>
        </w:tc>
        <w:tc>
          <w:tcPr>
            <w:tcW w:type="dxa" w:w="3600"/>
            <w:vAlign w:val="center"/>
            <w:tcMar>
              <w:top w:w="90" w:type="dxa"/>
              <w:bottom w:w="90" w:type="dxa"/>
              <w:left w:w="110" w:type="dxa"/>
              <w:right w:w="110" w:type="dxa"/>
            </w:tcMar>
            <w:shd w:fill="E8EEF3"/>
          </w:tcPr>
          <w:p>
            <w:pPr>
              <w:spacing w:before="20" w:after="40" w:line="250" w:lineRule="auto"/>
            </w:pPr>
            <w:r>
              <w:rPr>
                <w:b/>
                <w:sz w:val="20"/>
              </w:rPr>
              <w:t>Learning or prediction target</w:t>
            </w:r>
          </w:p>
        </w:tc>
        <w:tc>
          <w:tcPr>
            <w:tcW w:type="dxa" w:w="4320"/>
            <w:vAlign w:val="center"/>
            <w:tcMar>
              <w:top w:w="90" w:type="dxa"/>
              <w:bottom w:w="90" w:type="dxa"/>
              <w:left w:w="110" w:type="dxa"/>
              <w:right w:w="110" w:type="dxa"/>
            </w:tcMar>
            <w:shd w:fill="E8EEF3"/>
          </w:tcPr>
          <w:p>
            <w:pPr>
              <w:spacing w:before="20" w:after="40" w:line="250" w:lineRule="auto"/>
            </w:pPr>
            <w:r>
              <w:rPr>
                <w:b/>
                <w:sz w:val="20"/>
              </w:rPr>
              <w:t>Suitable evaluation question</w:t>
            </w:r>
          </w:p>
        </w:tc>
      </w:tr>
      <w:tr>
        <w:trPr>
          <w:cantSplit/>
        </w:trPr>
        <w:tc>
          <w:tcPr>
            <w:tcW w:type="dxa" w:w="2160"/>
            <w:vAlign w:val="center"/>
            <w:tcMar>
              <w:top w:w="90" w:type="dxa"/>
              <w:bottom w:w="90" w:type="dxa"/>
              <w:left w:w="110" w:type="dxa"/>
              <w:right w:w="110" w:type="dxa"/>
            </w:tcMar>
            <w:shd w:fill="FFFFFF"/>
          </w:tcPr>
          <w:p>
            <w:pPr>
              <w:spacing w:before="20" w:after="40" w:line="250" w:lineRule="auto"/>
            </w:pPr>
            <w:r>
              <w:rPr>
                <w:b w:val="0"/>
                <w:sz w:val="20"/>
              </w:rPr>
              <w:t>Genotype imputation</w:t>
            </w:r>
          </w:p>
        </w:tc>
        <w:tc>
          <w:tcPr>
            <w:tcW w:type="dxa" w:w="3600"/>
            <w:vAlign w:val="center"/>
            <w:tcMar>
              <w:top w:w="90" w:type="dxa"/>
              <w:bottom w:w="90" w:type="dxa"/>
              <w:left w:w="110" w:type="dxa"/>
              <w:right w:w="110" w:type="dxa"/>
            </w:tcMar>
            <w:shd w:fill="FFFFFF"/>
          </w:tcPr>
          <w:p>
            <w:pPr>
              <w:spacing w:before="20" w:after="40" w:line="250" w:lineRule="auto"/>
            </w:pPr>
            <w:r>
              <w:rPr>
                <w:b w:val="0"/>
                <w:sz w:val="20"/>
              </w:rPr>
              <w:t>Recover unobserved genotypes</w:t>
            </w:r>
          </w:p>
        </w:tc>
        <w:tc>
          <w:tcPr>
            <w:tcW w:type="dxa" w:w="4320"/>
            <w:vAlign w:val="center"/>
            <w:tcMar>
              <w:top w:w="90" w:type="dxa"/>
              <w:bottom w:w="90" w:type="dxa"/>
              <w:left w:w="110" w:type="dxa"/>
              <w:right w:w="110" w:type="dxa"/>
            </w:tcMar>
            <w:shd w:fill="FFFFFF"/>
          </w:tcPr>
          <w:p>
            <w:pPr>
              <w:spacing w:before="20" w:after="40" w:line="250" w:lineRule="auto"/>
            </w:pPr>
            <w:r>
              <w:rPr>
                <w:b w:val="0"/>
                <w:sz w:val="20"/>
              </w:rPr>
              <w:t>How often and how confidently are the missing genotypes recovered?</w:t>
            </w:r>
          </w:p>
        </w:tc>
      </w:tr>
      <w:tr>
        <w:trPr>
          <w:cantSplit/>
        </w:trPr>
        <w:tc>
          <w:tcPr>
            <w:tcW w:type="dxa" w:w="2160"/>
            <w:vAlign w:val="center"/>
            <w:tcMar>
              <w:top w:w="90" w:type="dxa"/>
              <w:bottom w:w="90" w:type="dxa"/>
              <w:left w:w="110" w:type="dxa"/>
              <w:right w:w="110" w:type="dxa"/>
            </w:tcMar>
            <w:shd w:fill="F7F8FA"/>
          </w:tcPr>
          <w:p>
            <w:pPr>
              <w:spacing w:before="20" w:after="40" w:line="250" w:lineRule="auto"/>
            </w:pPr>
            <w:r>
              <w:rPr>
                <w:b w:val="0"/>
                <w:sz w:val="20"/>
              </w:rPr>
              <w:t>Haplotype phasing</w:t>
            </w:r>
          </w:p>
        </w:tc>
        <w:tc>
          <w:tcPr>
            <w:tcW w:type="dxa" w:w="3600"/>
            <w:vAlign w:val="center"/>
            <w:tcMar>
              <w:top w:w="90" w:type="dxa"/>
              <w:bottom w:w="90" w:type="dxa"/>
              <w:left w:w="110" w:type="dxa"/>
              <w:right w:w="110" w:type="dxa"/>
            </w:tcMar>
            <w:shd w:fill="F7F8FA"/>
          </w:tcPr>
          <w:p>
            <w:pPr>
              <w:spacing w:before="20" w:after="40" w:line="250" w:lineRule="auto"/>
            </w:pPr>
            <w:r>
              <w:rPr>
                <w:b w:val="0"/>
                <w:sz w:val="20"/>
              </w:rPr>
              <w:t>Assign alleles to chromosome copies</w:t>
            </w:r>
          </w:p>
        </w:tc>
        <w:tc>
          <w:tcPr>
            <w:tcW w:type="dxa" w:w="4320"/>
            <w:vAlign w:val="center"/>
            <w:tcMar>
              <w:top w:w="90" w:type="dxa"/>
              <w:bottom w:w="90" w:type="dxa"/>
              <w:left w:w="110" w:type="dxa"/>
              <w:right w:w="110" w:type="dxa"/>
            </w:tcMar>
            <w:shd w:fill="F7F8FA"/>
          </w:tcPr>
          <w:p>
            <w:pPr>
              <w:spacing w:before="20" w:after="40" w:line="250" w:lineRule="auto"/>
            </w:pPr>
            <w:r>
              <w:rPr>
                <w:b w:val="0"/>
                <w:sz w:val="20"/>
              </w:rPr>
              <w:t>How often does the inferred arrangement switch incorrectly?</w:t>
            </w:r>
          </w:p>
        </w:tc>
      </w:tr>
      <w:tr>
        <w:trPr>
          <w:cantSplit/>
        </w:trPr>
        <w:tc>
          <w:tcPr>
            <w:tcW w:type="dxa" w:w="2160"/>
            <w:vAlign w:val="center"/>
            <w:tcMar>
              <w:top w:w="90" w:type="dxa"/>
              <w:bottom w:w="90" w:type="dxa"/>
              <w:left w:w="110" w:type="dxa"/>
              <w:right w:w="110" w:type="dxa"/>
            </w:tcMar>
            <w:shd w:fill="FFFFFF"/>
          </w:tcPr>
          <w:p>
            <w:pPr>
              <w:spacing w:before="20" w:after="40" w:line="250" w:lineRule="auto"/>
            </w:pPr>
            <w:r>
              <w:rPr>
                <w:b w:val="0"/>
                <w:sz w:val="20"/>
              </w:rPr>
              <w:t>Relatedness inference</w:t>
            </w:r>
          </w:p>
        </w:tc>
        <w:tc>
          <w:tcPr>
            <w:tcW w:type="dxa" w:w="3600"/>
            <w:vAlign w:val="center"/>
            <w:tcMar>
              <w:top w:w="90" w:type="dxa"/>
              <w:bottom w:w="90" w:type="dxa"/>
              <w:left w:w="110" w:type="dxa"/>
              <w:right w:w="110" w:type="dxa"/>
            </w:tcMar>
            <w:shd w:fill="FFFFFF"/>
          </w:tcPr>
          <w:p>
            <w:pPr>
              <w:spacing w:before="20" w:after="40" w:line="250" w:lineRule="auto"/>
            </w:pPr>
            <w:r>
              <w:rPr>
                <w:b w:val="0"/>
                <w:sz w:val="20"/>
              </w:rPr>
              <w:t>Predict genetic relationship from profiles</w:t>
            </w:r>
          </w:p>
        </w:tc>
        <w:tc>
          <w:tcPr>
            <w:tcW w:type="dxa" w:w="4320"/>
            <w:vAlign w:val="center"/>
            <w:tcMar>
              <w:top w:w="90" w:type="dxa"/>
              <w:bottom w:w="90" w:type="dxa"/>
              <w:left w:w="110" w:type="dxa"/>
              <w:right w:w="110" w:type="dxa"/>
            </w:tcMar>
            <w:shd w:fill="FFFFFF"/>
          </w:tcPr>
          <w:p>
            <w:pPr>
              <w:spacing w:before="20" w:after="40" w:line="250" w:lineRule="auto"/>
            </w:pPr>
            <w:r>
              <w:rPr>
                <w:b w:val="0"/>
                <w:sz w:val="20"/>
              </w:rPr>
              <w:t>How well are relationship categories distinguished?</w:t>
            </w:r>
          </w:p>
        </w:tc>
      </w:tr>
      <w:tr>
        <w:trPr>
          <w:cantSplit/>
        </w:trPr>
        <w:tc>
          <w:tcPr>
            <w:tcW w:type="dxa" w:w="2160"/>
            <w:vAlign w:val="center"/>
            <w:tcMar>
              <w:top w:w="90" w:type="dxa"/>
              <w:bottom w:w="90" w:type="dxa"/>
              <w:left w:w="110" w:type="dxa"/>
              <w:right w:w="110" w:type="dxa"/>
            </w:tcMar>
            <w:shd w:fill="F7F8FA"/>
          </w:tcPr>
          <w:p>
            <w:pPr>
              <w:spacing w:before="20" w:after="40" w:line="250" w:lineRule="auto"/>
            </w:pPr>
            <w:r>
              <w:rPr>
                <w:b w:val="0"/>
                <w:sz w:val="20"/>
              </w:rPr>
              <w:t>Population classification</w:t>
            </w:r>
          </w:p>
        </w:tc>
        <w:tc>
          <w:tcPr>
            <w:tcW w:type="dxa" w:w="3600"/>
            <w:vAlign w:val="center"/>
            <w:tcMar>
              <w:top w:w="90" w:type="dxa"/>
              <w:bottom w:w="90" w:type="dxa"/>
              <w:left w:w="110" w:type="dxa"/>
              <w:right w:w="110" w:type="dxa"/>
            </w:tcMar>
            <w:shd w:fill="F7F8FA"/>
          </w:tcPr>
          <w:p>
            <w:pPr>
              <w:spacing w:before="20" w:after="40" w:line="250" w:lineRule="auto"/>
            </w:pPr>
            <w:r>
              <w:rPr>
                <w:b w:val="0"/>
                <w:sz w:val="20"/>
              </w:rPr>
              <w:t>Predict reference population labels</w:t>
            </w:r>
          </w:p>
        </w:tc>
        <w:tc>
          <w:tcPr>
            <w:tcW w:type="dxa" w:w="4320"/>
            <w:vAlign w:val="center"/>
            <w:tcMar>
              <w:top w:w="90" w:type="dxa"/>
              <w:bottom w:w="90" w:type="dxa"/>
              <w:left w:w="110" w:type="dxa"/>
              <w:right w:w="110" w:type="dxa"/>
            </w:tcMar>
            <w:shd w:fill="F7F8FA"/>
          </w:tcPr>
          <w:p>
            <w:pPr>
              <w:spacing w:before="20" w:after="40" w:line="250" w:lineRule="auto"/>
            </w:pPr>
            <w:r>
              <w:rPr>
                <w:b w:val="0"/>
                <w:sz w:val="20"/>
              </w:rPr>
              <w:t>How well are the predefined groups predicted?</w:t>
            </w:r>
          </w:p>
        </w:tc>
      </w:tr>
    </w:tbl>
    <w:p>
      <w:pPr>
        <w:spacing w:after="20"/>
      </w:pPr>
    </w:p>
    <w:p>
      <w:r>
        <w:rPr>
          <w:sz w:val="19"/>
        </w:rPr>
        <w:t>These are general task definitions. SNPBag's repository lists implementations or demonstrations for imputation, phasing, embeddings, ancestry, and relatedness. [2]</w:t>
      </w:r>
    </w:p>
    <w:p>
      <w:pPr>
        <w:pStyle w:val="Heading2"/>
      </w:pPr>
      <w:r>
        <w:t>A training objective is separate from the test claim</w:t>
      </w:r>
    </w:p>
    <w:p>
      <w:r>
        <w:t>A reconstruction model can learn without population labels and still be evaluated on populations. A supervised classifier can then use those embeddings. This does not establish that population labels changed the encoder itself. Preserve that distinction when describing the workflow.</w:t>
      </w:r>
    </w:p>
    <w:p>
      <w:r>
        <w:t>Synthetic data derived from a reference cohort also require careful provenance when evaluating real members of that cohort. For your work, record whether each test person was excluded from preprocessing, representation learning, simulation founders, model selection, and downstream training.</w:t>
      </w:r>
    </w:p>
    <w:p>
      <w:r>
        <w:br w:type="page"/>
      </w:r>
    </w:p>
    <w:p>
      <w:pPr>
        <w:pStyle w:val="Heading1"/>
      </w:pPr>
      <w:r>
        <w:t>What you could reproduce and what you still need</w:t>
      </w:r>
    </w:p>
    <w:p>
      <w:pPr>
        <w:pStyle w:val="Heading2"/>
      </w:pPr>
      <w:r>
        <w:t>A small adaptation for your v5 data</w:t>
      </w:r>
    </w:p>
    <w:p>
      <w:r>
        <w:t>Start with chromosome 22 and the saved 2,003-person training cohort. Train a small reconstruction model, reserve validation people within that cohort, and keep known relatives together. Freeze the encoder before evaluating the 501 test people. Compare its embeddings with PCA using the same chromosome SNPs.</w:t>
      </w:r>
    </w:p>
    <w:p>
      <w:r>
        <w:t>Use a separate supervised classifier if you want named reference-group predictions. Use clustering without labels if you want to explore structure. Choose the experiment before looking at the test labels, and keep PRS313 as a separately calculated score that can be overlaid afterward.</w:t>
      </w:r>
    </w:p>
    <w:p>
      <w:pPr>
        <w:pStyle w:val="Heading2"/>
      </w:pPr>
      <w:r>
        <w:t>Requirements for the published pretrained model</w:t>
      </w:r>
    </w:p>
    <w:p>
      <w:pPr>
        <w:pStyle w:val="ListBullet"/>
        <w:spacing w:after="100"/>
      </w:pPr>
      <w:r>
        <w:t>Verified encoder weights and the trained embedding head, with compatible model definitions.</w:t>
      </w:r>
    </w:p>
    <w:p>
      <w:pPr>
        <w:pStyle w:val="ListBullet"/>
        <w:spacing w:after="100"/>
      </w:pPr>
      <w:r>
        <w:t>The exact SNP vocabulary, genome build, allele-count convention, and input ordering.</w:t>
      </w:r>
    </w:p>
    <w:p>
      <w:pPr>
        <w:pStyle w:val="ListBullet"/>
        <w:spacing w:after="100"/>
      </w:pPr>
      <w:r>
        <w:t>Documented missing-value handling, input preparation, inference settings, and model license.</w:t>
      </w:r>
    </w:p>
    <w:p>
      <w:r>
        <w:t>The repository describes figure-reproduction folders and links to a remote demo. An open issue requests full-genome pretrained weights. These observations do not establish a complete downloadable inference release. An example embedding file cannot by itself establish that the encoder weights are included. [2, 6]</w:t>
      </w:r>
    </w:p>
    <w:p>
      <w:pPr>
        <w:pStyle w:val="Heading2"/>
      </w:pPr>
      <w:r>
        <w:t>Sources</w:t>
      </w:r>
    </w:p>
    <w:p>
      <w:pPr>
        <w:spacing w:after="160"/>
      </w:pPr>
      <w:r>
        <w:rPr>
          <w:b/>
        </w:rPr>
        <w:t xml:space="preserve">[1] Xu and colleagues 2025 SNPBag version 2. </w:t>
      </w:r>
      <w:hyperlink r:id="rId10">
        <w:r>
          <w:rPr>
            <w:color w:val="175A82"/>
            <w:u w:val="single"/>
          </w:rPr>
          <w:t>Open source</w:t>
        </w:r>
      </w:hyperlink>
      <w:r>
        <w:br/>
        <w:t>Technical configuration and the Genome embedding and Population classification methods. Preprint DOI 10.1101/2025.01.29.635579.</w:t>
      </w:r>
    </w:p>
    <w:p>
      <w:pPr>
        <w:spacing w:after="160"/>
      </w:pPr>
      <w:r>
        <w:rPr>
          <w:b/>
        </w:rPr>
        <w:t xml:space="preserve">[2] SNPBag author repository. </w:t>
      </w:r>
      <w:hyperlink r:id="rId11">
        <w:r>
          <w:rPr>
            <w:color w:val="175A82"/>
            <w:u w:val="single"/>
          </w:rPr>
          <w:t>Open source</w:t>
        </w:r>
      </w:hyperlink>
      <w:r>
        <w:br/>
        <w:t>Project description and available folders. The README links to the later version: https://www.biorxiv.org/content/10.1101/2025.01.29.635579v3</w:t>
      </w:r>
    </w:p>
    <w:p>
      <w:pPr>
        <w:spacing w:after="160"/>
      </w:pPr>
      <w:r>
        <w:rPr>
          <w:b/>
        </w:rPr>
        <w:t xml:space="preserve">[3] Wharrie and colleagues 2023 HAPNEST. </w:t>
      </w:r>
      <w:hyperlink r:id="rId12">
        <w:r>
          <w:rPr>
            <w:color w:val="175A82"/>
            <w:u w:val="single"/>
          </w:rPr>
          <w:t>Open source</w:t>
        </w:r>
      </w:hyperlink>
      <w:r>
        <w:br/>
        <w:t>Bioinformatics 39 btad535. DOI 10.1093/bioinformatics/btad535. Synthetic haplotypes and evaluation of simulation properties.</w:t>
      </w:r>
    </w:p>
    <w:p>
      <w:pPr>
        <w:spacing w:after="160"/>
      </w:pPr>
      <w:r>
        <w:rPr>
          <w:b/>
        </w:rPr>
        <w:t xml:space="preserve">[4] Devlin and colleagues 2019 BERT. </w:t>
      </w:r>
      <w:hyperlink r:id="rId13">
        <w:r>
          <w:rPr>
            <w:color w:val="175A82"/>
            <w:u w:val="single"/>
          </w:rPr>
          <w:t>Open source</w:t>
        </w:r>
      </w:hyperlink>
      <w:r>
        <w:br/>
        <w:t>NAACL 2019. DOI 10.18653/v1/N19-1423. Bidirectional representations and masked-input learning.</w:t>
      </w:r>
    </w:p>
    <w:p>
      <w:pPr>
        <w:spacing w:after="160"/>
      </w:pPr>
      <w:r>
        <w:rPr>
          <w:b/>
        </w:rPr>
        <w:t xml:space="preserve">[5] Scikit learn clustering guide. </w:t>
      </w:r>
      <w:hyperlink r:id="rId14">
        <w:r>
          <w:rPr>
            <w:color w:val="175A82"/>
            <w:u w:val="single"/>
          </w:rPr>
          <w:t>Open source</w:t>
        </w:r>
      </w:hyperlink>
      <w:r>
        <w:br/>
        <w:t>Definitions and assumptions for cluster analysis.</w:t>
      </w:r>
    </w:p>
    <w:p>
      <w:pPr>
        <w:spacing w:after="160"/>
      </w:pPr>
      <w:r>
        <w:rPr>
          <w:b/>
        </w:rPr>
        <w:t xml:space="preserve">[6] SNPBag issue requesting pretrained weights. </w:t>
      </w:r>
      <w:hyperlink r:id="rId15">
        <w:r>
          <w:rPr>
            <w:color w:val="175A82"/>
            <w:u w:val="single"/>
          </w:rPr>
          <w:t>Open source</w:t>
        </w:r>
      </w:hyperlink>
      <w:r>
        <w:br/>
        <w:t>Availability evidence checked on 28 October 2026. An unanswered release request is not proof that no weights exist elsewhere.</w:t>
      </w:r>
    </w:p>
    <w:sectPr w:rsidR="00FC693F" w:rsidRPr="0006063C" w:rsidSect="00034616">
      <w:footerReference w:type="default" r:id="rId9"/>
      <w:pgSz w:w="12240" w:h="15840"/>
      <w:pgMar w:top="979" w:right="1080" w:bottom="979"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orxiv.org/content/10.1101/2025.01.29.635579v2.full" TargetMode="External"/><Relationship Id="rId11" Type="http://schemas.openxmlformats.org/officeDocument/2006/relationships/hyperlink" Target="https://github.com/augix/SNPBag" TargetMode="External"/><Relationship Id="rId12" Type="http://schemas.openxmlformats.org/officeDocument/2006/relationships/hyperlink" Target="https://pmc.ncbi.nlm.nih.gov/articles/PMC10493177/" TargetMode="External"/><Relationship Id="rId13" Type="http://schemas.openxmlformats.org/officeDocument/2006/relationships/hyperlink" Target="https://aclanthology.org/N19-1423/" TargetMode="External"/><Relationship Id="rId14" Type="http://schemas.openxmlformats.org/officeDocument/2006/relationships/hyperlink" Target="https://scikit-learn.org/stable/modules/clustering.html" TargetMode="External"/><Relationship Id="rId15" Type="http://schemas.openxmlformats.org/officeDocument/2006/relationships/hyperlink" Target="https://github.com/augix/SNPBag/issue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SNPBag was built and trained</dc:title>
  <dc:subject>A methods guide to the data encoder genome embeddings and population classifier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