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sz w:val="2"/>
          <w:szCs w:val="2"/>
        </w:rPr>
        <w:t xml:space="preserve"/>
      </w:r>
    </w:p>
    <w:p>
      <w:pPr>
        <w:pBdr>
          <w:bottom w:val="single" w:color="00AFCB" w:sz="18" w:space="8"/>
        </w:pBdr>
        <w:spacing w:after="240"/>
      </w:pPr>
      <w:r>
        <w:t xml:space="preserve"/>
      </w:r>
    </w:p>
    <w:p>
      <w:pPr>
        <w:spacing w:after="120"/>
        <w:jc w:val="left"/>
      </w:pPr>
      <w:r>
        <w:drawing>
          <wp:inline distT="0" distB="0" distL="0" distR="0">
            <wp:extent cx="3619500" cy="1495425"/>
            <wp:effectExtent t="0" r="0" b="0" l="0"/>
            <wp:docPr id="1" name="AZLO" descr="Logo AZLO assinatura completa" title="AZ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20"/>
      </w:pPr>
      <w:r>
        <w:rPr>
          <w:rFonts w:ascii="Fraunces" w:cs="Fraunces" w:eastAsia="Fraunces" w:hAnsi="Fraunces"/>
          <w:b/>
          <w:bCs/>
          <w:color w:val="052B57"/>
          <w:sz w:val="56"/>
          <w:szCs w:val="56"/>
        </w:rPr>
        <w:t xml:space="preserve">Brand Book</w:t>
      </w:r>
    </w:p>
    <w:p>
      <w:pPr>
        <w:spacing w:after="200"/>
      </w:pPr>
      <w:r>
        <w:rPr>
          <w:rFonts w:ascii="Hanken Grotesk" w:cs="Hanken Grotesk" w:eastAsia="Hanken Grotesk" w:hAnsi="Hanken Grotesk"/>
          <w:color w:val="5B6770"/>
          <w:sz w:val="24"/>
          <w:szCs w:val="24"/>
        </w:rPr>
        <w:t xml:space="preserve">Arquitetura de marca, posicionamento e sistema de expressão</w:t>
      </w:r>
    </w:p>
    <w:p>
      <w:pPr>
        <w:pBdr>
          <w:top w:val="single" w:color="D5E2EC" w:sz="6" w:space="6"/>
        </w:pBdr>
        <w:spacing w:after="0" w:before="200"/>
      </w:pPr>
      <w:r>
        <w:rPr>
          <w:rFonts w:ascii="Hanken Grotesk" w:cs="Hanken Grotesk" w:eastAsia="Hanken Grotesk" w:hAnsi="Hanken Grotesk"/>
          <w:b/>
          <w:bCs/>
          <w:color w:val="00AFCB"/>
          <w:spacing w:val="30"/>
          <w:sz w:val="18"/>
          <w:szCs w:val="18"/>
        </w:rPr>
        <w:t xml:space="preserve">VERSÃO 4.0</w:t>
      </w:r>
      <w:r>
        <w:rPr>
          <w:rFonts w:ascii="Hanken Grotesk" w:cs="Hanken Grotesk" w:eastAsia="Hanken Grotesk" w:hAnsi="Hanken Grotesk"/>
          <w:color w:val="5B6770"/>
          <w:spacing w:val="20"/>
          <w:sz w:val="18"/>
          <w:szCs w:val="18"/>
        </w:rPr>
        <w:t xml:space="preserve">   ·   MARCA-GUARDA-CHUVA EM TIERS   ·   SAÚDE ATIVA · TECNOLOGIA EM CONSTRUÇÃO</w:t>
      </w:r>
    </w:p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0AFCB"/>
          <w:spacing w:val="30"/>
          <w:sz w:val="17"/>
          <w:szCs w:val="17"/>
        </w:rPr>
        <w:t xml:space="preserve">NOTA DE REVISÃO · V3.0 → V4.0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40"/>
          <w:szCs w:val="40"/>
        </w:rPr>
        <w:t xml:space="preserve">O que mudou nesta versão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A v3.0 incorporou o logo real e resolveu a tagline — mas resolveu errado em um ponto e deixou um problema estrutural maior sem tratar. A v4.0 nasce de uma crítica direta a tudo que veio antes: a marca estava mais avançada no papel do que na realidade, e a tagline tinha trocado especificidade por abrangência vazia. Esta versão corrige as duas coisas.</w:t>
      </w:r>
    </w:p>
    <w:p>
      <w:pPr>
        <w:pBdr>
          <w:top w:val="single" w:color="00AFCB" w:sz="4" w:space="10"/>
        </w:pBdr>
        <w:spacing w:after="0" w:before="160"/>
      </w:pPr>
      <w:r>
        <w:t xml:space="preserve"/>
      </w:r>
    </w:p>
    <w:p>
      <w:pPr>
        <w:spacing w:after="100" w:before="140"/>
        <w:ind w:left="260"/>
      </w:pPr>
      <w:r>
        <w:rPr>
          <w:rFonts w:ascii="Fraunces" w:cs="Fraunces" w:eastAsia="Fraunces" w:hAnsi="Fraunces"/>
          <w:b/>
          <w:bCs/>
          <w:color w:val="052B57"/>
          <w:sz w:val="20"/>
          <w:szCs w:val="20"/>
        </w:rPr>
        <w:t xml:space="preserve">As quatro correções da v4.0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Hierarquia de tiers. 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As quatro divisões deixam de ser tratadas como pares simétricos. Health é Tier 1 (ativa), Labs é Tier 2 (background), Education e Science são Tier 3 (reservadas, sem esforço de marca até terem produto).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Tagline institucional reescrita. 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“Optimization as a method. Across everything that matters.” foi abandonada por ser abrangente sem ser específica — qualquer consultoria genérica poderia usá-la. Nova tagline: </w:t>
      </w:r>
      <w:r>
        <w:rPr>
          <w:rFonts w:ascii="Hanken Grotesk" w:cs="Hanken Grotesk" w:eastAsia="Hanken Grotesk" w:hAnsi="Hanken Grotesk"/>
          <w:b w:val="false"/>
          <w:bCs w:val="false"/>
          <w:i/>
          <w:iCs/>
          <w:color w:val="111827"/>
          <w:sz w:val="21"/>
          <w:szCs w:val="21"/>
        </w:rPr>
        <w:t xml:space="preserve">“Medicina com método. Sistemas com critério.”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Taglines de divisão. 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Cada divisão ganha sua própria linha de apoio, tirando da tagline-mãe a obrigação impossível de falar por quatro domínios ao mesmo tempo.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Tipografia substituída. 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Sora/Space Grotesk e Inter — o par tipográfico mais repetido em brand books gerados por IA — foram trocados por Fraunces (serifada com caráter) e Hanken Grotesk, e os antigos cards com borda colorida à esquerda foram substituídos por um padrão tipográfico de regras finas, menos genérico.</w:t>
      </w:r>
    </w:p>
    <w:p>
      <w:pPr>
        <w:pBdr>
          <w:bottom w:val="single" w:color="D5E2EC" w:sz="4" w:space="10"/>
        </w:pBdr>
        <w:spacing w:after="200" w:before="14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6"/>
          <w:szCs w:val="26"/>
        </w:rPr>
        <w:t xml:space="preserve">Herança preservada da v3.0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6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Status na v4.0</w:t>
            </w:r>
          </w:p>
        </w:tc>
      </w:tr>
      <w:tr>
        <w:tc>
          <w:tcPr>
            <w:tcW w:type="dxa" w:w="3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Logo real incorporado</w:t>
            </w:r>
          </w:p>
        </w:tc>
        <w:tc>
          <w:tcPr>
            <w:tcW w:type="dxa" w:w="6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Mantido — capa, página de logo, anatomia simbólica.</w:t>
            </w:r>
          </w:p>
        </w:tc>
      </w:tr>
      <w:tr>
        <w:tc>
          <w:tcPr>
            <w:tcW w:type="dxa" w:w="3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Sétimo pilar (alavancagem técnica)</w:t>
            </w:r>
          </w:p>
        </w:tc>
        <w:tc>
          <w:tcPr>
            <w:tcW w:type="dxa" w:w="6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Mantido — lastro da AZLO Labs.</w:t>
            </w:r>
          </w:p>
        </w:tc>
      </w:tr>
      <w:tr>
        <w:tc>
          <w:tcPr>
            <w:tcW w:type="dxa" w:w="3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Paleta de cores</w:t>
            </w:r>
          </w:p>
        </w:tc>
        <w:tc>
          <w:tcPr>
            <w:tcW w:type="dxa" w:w="6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Mantida integralmente (Deep Navy, Zenith Blue, Arc Teal, Vital Cyan).</w:t>
            </w:r>
          </w:p>
        </w:tc>
      </w:tr>
      <w:tr>
        <w:tc>
          <w:tcPr>
            <w:tcW w:type="dxa" w:w="3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Voz antimilagre e banco verbal</w:t>
            </w:r>
          </w:p>
        </w:tc>
        <w:tc>
          <w:tcPr>
            <w:tcW w:type="dxa" w:w="6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Mantidos integralmente.</w:t>
            </w:r>
          </w:p>
        </w:tc>
      </w:tr>
      <w:tr>
        <w:tc>
          <w:tcPr>
            <w:tcW w:type="dxa" w:w="3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Refino de logo pendente</w:t>
            </w:r>
          </w:p>
        </w:tc>
        <w:tc>
          <w:tcPr>
            <w:tcW w:type="dxa" w:w="6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Mantido — ver “Próximos ativos”; segue sem vetorização.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Nota de honestidade: </w:t>
      </w:r>
      <w:r>
        <w:rPr>
          <w:rFonts w:ascii="Hanken Grotesk" w:cs="Hanken Grotesk" w:eastAsia="Hanken Grotesk" w:hAnsi="Hanken Grotesk"/>
          <w:b w:val="false"/>
          <w:bCs w:val="false"/>
          <w:i/>
          <w:iCs/>
          <w:color w:val="111827"/>
          <w:sz w:val="21"/>
          <w:szCs w:val="21"/>
        </w:rPr>
        <w:t xml:space="preserve">este documento existe por causa de uma autocrítica explícita, não de uma demanda externa. O risco de excesso de documentação sobre produto real continua valendo — ver o plano de publicação que acompanha este brand book como peça separada.</w:t>
      </w:r>
    </w:p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0AFCB"/>
          <w:spacing w:val="30"/>
          <w:sz w:val="17"/>
          <w:szCs w:val="17"/>
        </w:rPr>
        <w:t xml:space="preserve">CONTEÚDO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40"/>
          <w:szCs w:val="40"/>
        </w:rPr>
        <w:t xml:space="preserve">Mapa do brand book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Este documento organiza a AZLO como uma marca-guarda-chuva premium e técnica, aplicável a canais digitais, produtos, consultorias, conteúdo médico-científico e ferramentas de tecnologia.</w:t>
      </w:r>
    </w:p>
    <w:p>
      <w:pPr>
        <w:spacing w:after="20" w:before="70"/>
      </w:pPr>
      <w:r>
        <w:rPr>
          <w:rFonts w:ascii="Fraunces" w:cs="Fraunces" w:eastAsia="Fraunces" w:hAnsi="Fraunces"/>
          <w:b/>
          <w:bCs/>
          <w:color w:val="00AFCB"/>
          <w:sz w:val="22"/>
          <w:szCs w:val="22"/>
        </w:rPr>
        <w:t xml:space="preserve">01  </w:t>
      </w:r>
      <w:r>
        <w:rPr>
          <w:rFonts w:ascii="Fraunces" w:cs="Fraunces" w:eastAsia="Fraunces" w:hAnsi="Fraunces"/>
          <w:b/>
          <w:bCs/>
          <w:color w:val="052B57"/>
          <w:sz w:val="22"/>
          <w:szCs w:val="22"/>
        </w:rPr>
        <w:t xml:space="preserve">Estratégia</w:t>
      </w:r>
    </w:p>
    <w:p>
      <w:pPr>
        <w:spacing w:after="40"/>
        <w:ind w:left="480"/>
      </w:pPr>
      <w:r>
        <w:rPr>
          <w:rFonts w:ascii="Hanken Grotesk" w:cs="Hanken Grotesk" w:eastAsia="Hanken Grotesk" w:hAnsi="Hanken Grotesk"/>
          <w:color w:val="5B6770"/>
          <w:sz w:val="19"/>
          <w:szCs w:val="19"/>
        </w:rPr>
        <w:t xml:space="preserve">Propósito, posicionamento, território e público.</w:t>
      </w:r>
    </w:p>
    <w:p>
      <w:pPr>
        <w:spacing w:after="20" w:before="70"/>
      </w:pPr>
      <w:r>
        <w:rPr>
          <w:rFonts w:ascii="Fraunces" w:cs="Fraunces" w:eastAsia="Fraunces" w:hAnsi="Fraunces"/>
          <w:b/>
          <w:bCs/>
          <w:color w:val="00AFCB"/>
          <w:sz w:val="22"/>
          <w:szCs w:val="22"/>
        </w:rPr>
        <w:t xml:space="preserve">02  </w:t>
      </w:r>
      <w:r>
        <w:rPr>
          <w:rFonts w:ascii="Fraunces" w:cs="Fraunces" w:eastAsia="Fraunces" w:hAnsi="Fraunces"/>
          <w:b/>
          <w:bCs/>
          <w:color w:val="052B57"/>
          <w:sz w:val="22"/>
          <w:szCs w:val="22"/>
        </w:rPr>
        <w:t xml:space="preserve">Arquitetura de marca</w:t>
      </w:r>
    </w:p>
    <w:p>
      <w:pPr>
        <w:spacing w:after="40"/>
        <w:ind w:left="480"/>
      </w:pPr>
      <w:r>
        <w:rPr>
          <w:rFonts w:ascii="Hanken Grotesk" w:cs="Hanken Grotesk" w:eastAsia="Hanken Grotesk" w:hAnsi="Hanken Grotesk"/>
          <w:color w:val="5B6770"/>
          <w:sz w:val="19"/>
          <w:szCs w:val="19"/>
        </w:rPr>
        <w:t xml:space="preserve">Marca-mãe, divisões e regras de relação.</w:t>
      </w:r>
    </w:p>
    <w:p>
      <w:pPr>
        <w:spacing w:after="20" w:before="70"/>
      </w:pPr>
      <w:r>
        <w:rPr>
          <w:rFonts w:ascii="Fraunces" w:cs="Fraunces" w:eastAsia="Fraunces" w:hAnsi="Fraunces"/>
          <w:b/>
          <w:bCs/>
          <w:color w:val="00AFCB"/>
          <w:sz w:val="22"/>
          <w:szCs w:val="22"/>
        </w:rPr>
        <w:t xml:space="preserve">03  </w:t>
      </w:r>
      <w:r>
        <w:rPr>
          <w:rFonts w:ascii="Fraunces" w:cs="Fraunces" w:eastAsia="Fraunces" w:hAnsi="Fraunces"/>
          <w:b/>
          <w:bCs/>
          <w:color w:val="052B57"/>
          <w:sz w:val="22"/>
          <w:szCs w:val="22"/>
        </w:rPr>
        <w:t xml:space="preserve">Identidade conceitual</w:t>
      </w:r>
    </w:p>
    <w:p>
      <w:pPr>
        <w:spacing w:after="40"/>
        <w:ind w:left="480"/>
      </w:pPr>
      <w:r>
        <w:rPr>
          <w:rFonts w:ascii="Hanken Grotesk" w:cs="Hanken Grotesk" w:eastAsia="Hanken Grotesk" w:hAnsi="Hanken Grotesk"/>
          <w:color w:val="5B6770"/>
          <w:sz w:val="19"/>
          <w:szCs w:val="19"/>
        </w:rPr>
        <w:t xml:space="preserve">Narrativa Alpha → Zenith, pilares e personalidade.</w:t>
      </w:r>
    </w:p>
    <w:p>
      <w:pPr>
        <w:spacing w:after="20" w:before="70"/>
      </w:pPr>
      <w:r>
        <w:rPr>
          <w:rFonts w:ascii="Fraunces" w:cs="Fraunces" w:eastAsia="Fraunces" w:hAnsi="Fraunces"/>
          <w:b/>
          <w:bCs/>
          <w:color w:val="00AFCB"/>
          <w:sz w:val="22"/>
          <w:szCs w:val="22"/>
        </w:rPr>
        <w:t xml:space="preserve">04  </w:t>
      </w:r>
      <w:r>
        <w:rPr>
          <w:rFonts w:ascii="Fraunces" w:cs="Fraunces" w:eastAsia="Fraunces" w:hAnsi="Fraunces"/>
          <w:b/>
          <w:bCs/>
          <w:color w:val="052B57"/>
          <w:sz w:val="22"/>
          <w:szCs w:val="22"/>
        </w:rPr>
        <w:t xml:space="preserve">Sistema visual</w:t>
      </w:r>
    </w:p>
    <w:p>
      <w:pPr>
        <w:spacing w:after="40"/>
        <w:ind w:left="480"/>
      </w:pPr>
      <w:r>
        <w:rPr>
          <w:rFonts w:ascii="Hanken Grotesk" w:cs="Hanken Grotesk" w:eastAsia="Hanken Grotesk" w:hAnsi="Hanken Grotesk"/>
          <w:color w:val="5B6770"/>
          <w:sz w:val="19"/>
          <w:szCs w:val="19"/>
        </w:rPr>
        <w:t xml:space="preserve">Logo, cores, tipografia, grid e imagens.</w:t>
      </w:r>
    </w:p>
    <w:p>
      <w:pPr>
        <w:spacing w:after="20" w:before="70"/>
      </w:pPr>
      <w:r>
        <w:rPr>
          <w:rFonts w:ascii="Fraunces" w:cs="Fraunces" w:eastAsia="Fraunces" w:hAnsi="Fraunces"/>
          <w:b/>
          <w:bCs/>
          <w:color w:val="00AFCB"/>
          <w:sz w:val="22"/>
          <w:szCs w:val="22"/>
        </w:rPr>
        <w:t xml:space="preserve">05  </w:t>
      </w:r>
      <w:r>
        <w:rPr>
          <w:rFonts w:ascii="Fraunces" w:cs="Fraunces" w:eastAsia="Fraunces" w:hAnsi="Fraunces"/>
          <w:b/>
          <w:bCs/>
          <w:color w:val="052B57"/>
          <w:sz w:val="22"/>
          <w:szCs w:val="22"/>
        </w:rPr>
        <w:t xml:space="preserve">Identidade verbal</w:t>
      </w:r>
    </w:p>
    <w:p>
      <w:pPr>
        <w:spacing w:after="40"/>
        <w:ind w:left="480"/>
      </w:pPr>
      <w:r>
        <w:rPr>
          <w:rFonts w:ascii="Hanken Grotesk" w:cs="Hanken Grotesk" w:eastAsia="Hanken Grotesk" w:hAnsi="Hanken Grotesk"/>
          <w:color w:val="5B6770"/>
          <w:sz w:val="19"/>
          <w:szCs w:val="19"/>
        </w:rPr>
        <w:t xml:space="preserve">Voz, taglines, mensagens e banco verbal.</w:t>
      </w:r>
    </w:p>
    <w:p>
      <w:pPr>
        <w:spacing w:after="20" w:before="70"/>
      </w:pPr>
      <w:r>
        <w:rPr>
          <w:rFonts w:ascii="Fraunces" w:cs="Fraunces" w:eastAsia="Fraunces" w:hAnsi="Fraunces"/>
          <w:b/>
          <w:bCs/>
          <w:color w:val="00AFCB"/>
          <w:sz w:val="22"/>
          <w:szCs w:val="22"/>
        </w:rPr>
        <w:t xml:space="preserve">06  </w:t>
      </w:r>
      <w:r>
        <w:rPr>
          <w:rFonts w:ascii="Fraunces" w:cs="Fraunces" w:eastAsia="Fraunces" w:hAnsi="Fraunces"/>
          <w:b/>
          <w:bCs/>
          <w:color w:val="052B57"/>
          <w:sz w:val="22"/>
          <w:szCs w:val="22"/>
        </w:rPr>
        <w:t xml:space="preserve">Aplicações</w:t>
      </w:r>
    </w:p>
    <w:p>
      <w:pPr>
        <w:spacing w:after="40"/>
        <w:ind w:left="480"/>
      </w:pPr>
      <w:r>
        <w:rPr>
          <w:rFonts w:ascii="Hanken Grotesk" w:cs="Hanken Grotesk" w:eastAsia="Hanken Grotesk" w:hAnsi="Hanken Grotesk"/>
          <w:color w:val="5B6770"/>
          <w:sz w:val="19"/>
          <w:szCs w:val="19"/>
        </w:rPr>
        <w:t xml:space="preserve">Site, redes, conteúdo científico e produtos.</w:t>
      </w:r>
    </w:p>
    <w:p>
      <w:pPr>
        <w:spacing w:after="20" w:before="70"/>
      </w:pPr>
      <w:r>
        <w:rPr>
          <w:rFonts w:ascii="Fraunces" w:cs="Fraunces" w:eastAsia="Fraunces" w:hAnsi="Fraunces"/>
          <w:b/>
          <w:bCs/>
          <w:color w:val="00AFCB"/>
          <w:sz w:val="22"/>
          <w:szCs w:val="22"/>
        </w:rPr>
        <w:t xml:space="preserve">07  </w:t>
      </w:r>
      <w:r>
        <w:rPr>
          <w:rFonts w:ascii="Fraunces" w:cs="Fraunces" w:eastAsia="Fraunces" w:hAnsi="Fraunces"/>
          <w:b/>
          <w:bCs/>
          <w:color w:val="052B57"/>
          <w:sz w:val="22"/>
          <w:szCs w:val="22"/>
        </w:rPr>
        <w:t xml:space="preserve">Governança</w:t>
      </w:r>
    </w:p>
    <w:p>
      <w:pPr>
        <w:spacing w:after="40"/>
        <w:ind w:left="480"/>
      </w:pPr>
      <w:r>
        <w:rPr>
          <w:rFonts w:ascii="Hanken Grotesk" w:cs="Hanken Grotesk" w:eastAsia="Hanken Grotesk" w:hAnsi="Hanken Grotesk"/>
          <w:color w:val="5B6770"/>
          <w:sz w:val="19"/>
          <w:szCs w:val="19"/>
        </w:rPr>
        <w:t xml:space="preserve">Checklist, critérios e próximos ativos.</w:t>
      </w:r>
    </w:p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0AFCB"/>
          <w:spacing w:val="30"/>
          <w:sz w:val="17"/>
          <w:szCs w:val="17"/>
        </w:rPr>
        <w:t xml:space="preserve">01 · ESTRATÉGIA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40"/>
          <w:szCs w:val="40"/>
        </w:rPr>
        <w:t xml:space="preserve">Fundação da marca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A AZLO trata vida, saúde, conhecimento e sistemas como domínios que podem ser diagnosticados, ajustados e elevados pelo mesmo método: medir, priorizar, intervir, revisar.</w:t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6"/>
          <w:szCs w:val="26"/>
        </w:rPr>
        <w:t xml:space="preserve">Propósito</w:t>
      </w:r>
    </w:p>
    <w:p>
      <w:pPr>
        <w:spacing w:after="120"/>
      </w:pPr>
      <w:r>
        <w:rPr>
          <w:rFonts w:ascii="Hanken Grotesk" w:cs="Hanken Grotesk" w:eastAsia="Hanken Grotesk" w:hAnsi="Hanken Grotesk"/>
          <w:color w:val="111827"/>
          <w:sz w:val="21"/>
          <w:szCs w:val="21"/>
        </w:rPr>
        <w:t xml:space="preserve">Transformar potencial em resultado sustentável — em saúde, conhecimento e sistemas — por meio de método, ciência aplicada e tecnologia bem-empregada.</w:t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6"/>
          <w:szCs w:val="26"/>
        </w:rPr>
        <w:t xml:space="preserve">Essência</w:t>
      </w:r>
    </w:p>
    <w:p>
      <w:pPr>
        <w:pBdr>
          <w:top w:val="single" w:color="35D3E6" w:sz="4" w:space="10"/>
        </w:pBdr>
        <w:spacing w:after="0" w:before="160"/>
      </w:pPr>
      <w:r>
        <w:t xml:space="preserve"/>
      </w:r>
    </w:p>
    <w:p>
      <w:pPr>
        <w:spacing w:after="0" w:before="100"/>
      </w:pPr>
      <w:r>
        <w:t xml:space="preserve"/>
      </w:r>
    </w:p>
    <w:p>
      <w:r>
        <w:rPr>
          <w:rFonts w:ascii="Fraunces" w:cs="Fraunces" w:eastAsia="Fraunces" w:hAnsi="Fraunces"/>
          <w:b/>
          <w:bCs/>
          <w:i/>
          <w:iCs/>
          <w:color w:val="052B57"/>
          <w:sz w:val="30"/>
          <w:szCs w:val="30"/>
        </w:rPr>
        <w:t xml:space="preserve">Precision for human ascent.</w:t>
      </w:r>
    </w:p>
    <w:p>
      <w:pPr>
        <w:pBdr>
          <w:bottom w:val="single" w:color="D5E2EC" w:sz="4" w:space="10"/>
        </w:pBdr>
        <w:spacing w:after="200" w:before="14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6"/>
          <w:szCs w:val="26"/>
        </w:rPr>
        <w:t xml:space="preserve">Missão e visão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Missão</w:t>
            </w:r>
          </w:p>
        </w:tc>
        <w:tc>
          <w:tcPr>
            <w:tcW w:type="dxa" w:w="468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Visão</w:t>
            </w:r>
          </w:p>
        </w:tc>
      </w:tr>
      <w:tr>
        <w:tc>
          <w:tcPr>
            <w:tcW w:type="dxa" w:w="468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Construir sistemas de otimização — clínicos, educacionais, científicos e digitais — que convertam intenção em resultado mensurável.</w:t>
            </w:r>
          </w:p>
        </w:tc>
        <w:tc>
          <w:tcPr>
            <w:tcW w:type="dxa" w:w="468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Ser referência em otimização aplicada com critério técnico, estética premium e utilidade real, da prática médica à automação inteligente.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6"/>
          <w:szCs w:val="26"/>
        </w:rPr>
        <w:t xml:space="preserve">Promessa central</w:t>
      </w:r>
    </w:p>
    <w:p>
      <w:pPr>
        <w:spacing w:after="120"/>
      </w:pPr>
      <w:r>
        <w:rPr>
          <w:rFonts w:ascii="Hanken Grotesk" w:cs="Hanken Grotesk" w:eastAsia="Hanken Grotesk" w:hAnsi="Hanken Grotesk"/>
          <w:b w:val="false"/>
          <w:bCs w:val="false"/>
          <w:i/>
          <w:iCs/>
          <w:color w:val="111827"/>
          <w:sz w:val="21"/>
          <w:szCs w:val="21"/>
        </w:rPr>
        <w:t xml:space="preserve">Da base ao apice — </w:t>
      </w:r>
      <w:r>
        <w:rPr>
          <w:rFonts w:ascii="Hanken Grotesk" w:cs="Hanken Grotesk" w:eastAsia="Hanken Grotesk" w:hAnsi="Hanken Grotesk"/>
          <w:b/>
          <w:bCs/>
          <w:i/>
          <w:iCs/>
          <w:color w:val="111827"/>
          <w:sz w:val="21"/>
          <w:szCs w:val="21"/>
        </w:rPr>
        <w:t xml:space="preserve">do Alpha ao Zenith</w:t>
      </w:r>
      <w:r>
        <w:rPr>
          <w:rFonts w:ascii="Hanken Grotesk" w:cs="Hanken Grotesk" w:eastAsia="Hanken Grotesk" w:hAnsi="Hanken Grotesk"/>
          <w:b w:val="false"/>
          <w:bCs w:val="false"/>
          <w:i/>
          <w:iCs/>
          <w:color w:val="111827"/>
          <w:sz w:val="21"/>
          <w:szCs w:val="21"/>
        </w:rPr>
        <w:t xml:space="preserve"> — a AZLO organiza diagnóstico, método e indicadores para conduzir decisões mais lúcidas em cada domínio que toca.</w:t>
      </w:r>
    </w:p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0AFCB"/>
          <w:spacing w:val="30"/>
          <w:sz w:val="17"/>
          <w:szCs w:val="17"/>
        </w:rPr>
        <w:t xml:space="preserve">01 · ESTRATÉGIA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40"/>
          <w:szCs w:val="40"/>
        </w:rPr>
        <w:t xml:space="preserve">Posicionamento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A AZLO ocupa um território entre medicina aplicada, educação técnica, divulgação científica e engenharia de sistemas pessoais — unidos pela mesma disciplina de otimização.</w:t>
      </w:r>
    </w:p>
    <w:p>
      <w:pPr>
        <w:pBdr>
          <w:top w:val="single" w:color="0A5E9C" w:sz="4" w:space="10"/>
        </w:pBdr>
        <w:spacing w:after="0" w:before="160"/>
      </w:pPr>
      <w:r>
        <w:t xml:space="preserve"/>
      </w:r>
    </w:p>
    <w:p>
      <w:pPr>
        <w:spacing w:after="100" w:before="140"/>
        <w:ind w:left="260"/>
      </w:pPr>
      <w:r>
        <w:rPr>
          <w:rFonts w:ascii="Fraunces" w:cs="Fraunces" w:eastAsia="Fraunces" w:hAnsi="Fraunces"/>
          <w:b/>
          <w:bCs/>
          <w:color w:val="052B57"/>
          <w:sz w:val="20"/>
          <w:szCs w:val="20"/>
        </w:rPr>
        <w:t xml:space="preserve">Declaração de posicionamento</w:t>
      </w:r>
    </w:p>
    <w:p>
      <w:pPr>
        <w:spacing w:after="0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Para pessoas e instituições que querem sair do improviso e evoluir com método, a AZLO é uma 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marca-guarda-chuva de otimização aplicada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 que integra ciência, prática clínica, educação e tecnologia para transformar saúde, conhecimento e processos em sistemas de alto desempenho — sustentáveis e mensuráveis.</w:t>
      </w:r>
    </w:p>
    <w:p>
      <w:pPr>
        <w:pBdr>
          <w:bottom w:val="single" w:color="D5E2EC" w:sz="4" w:space="10"/>
        </w:pBdr>
        <w:spacing w:after="200" w:before="140"/>
      </w:pPr>
      <w:r>
        <w:t xml:space="preserve"/>
      </w:r>
    </w:p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6"/>
          <w:szCs w:val="26"/>
        </w:rPr>
        <w:t xml:space="preserve">Territórios de marca</w:t>
      </w:r>
    </w:p>
    <w:p>
      <w:pPr>
        <w:spacing w:after="120"/>
      </w:pPr>
      <w:r>
        <w:rPr>
          <w:rFonts w:ascii="Hanken Grotesk" w:cs="Hanken Grotesk" w:eastAsia="Hanken Grotesk" w:hAnsi="Hanken Grotesk"/>
          <w:color w:val="111827"/>
          <w:sz w:val="21"/>
          <w:szCs w:val="21"/>
        </w:rPr>
        <w:t xml:space="preserve">Medicina preventiva e de performance. Educação médica e técnica. Divulgação científica com rigor. Automação, IA e engenharia de rotina. Longevidade e cognição. Decisão baseada em evidência.</w:t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6"/>
          <w:szCs w:val="26"/>
        </w:rPr>
        <w:t xml:space="preserve">Diferenciação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Menos promessa milagrosa, 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mais engenharia de método.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Menos estética genérica de wellness, 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mais precisão técnica e dados.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Menos guru, 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mais operador-cientista que mostra o sistema por trás do resultado.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O elo com a tecnologia não é acessório: 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é o que torna a otimização replicável e escalável.</w:t>
      </w:r>
    </w:p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0AFCB"/>
          <w:spacing w:val="30"/>
          <w:sz w:val="17"/>
          <w:szCs w:val="17"/>
        </w:rPr>
        <w:t xml:space="preserve">01 · ESTRATÉGIA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40"/>
          <w:szCs w:val="40"/>
        </w:rPr>
        <w:t xml:space="preserve">Público e segmentação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A marca fala com dois círculos simultâneos: clientes/pacientes finais e pares institucionais. A marca-mãe sustenta o registro institucional; cada divisão calibra o tom para o seu público.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3860"/>
      </w:tblGrid>
      <w:tr>
        <w:trPr>
          <w:tblHeader/>
        </w:trP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Círculo</w:t>
            </w:r>
          </w:p>
        </w:tc>
        <w:tc>
          <w:tcPr>
            <w:tcW w:type="dxa" w:w="3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Quem</w:t>
            </w:r>
          </w:p>
        </w:tc>
        <w:tc>
          <w:tcPr>
            <w:tcW w:type="dxa" w:w="38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O que espera da AZLO</w:t>
            </w:r>
          </w:p>
        </w:tc>
      </w:tr>
      <w:t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19"/>
                <w:szCs w:val="19"/>
              </w:rPr>
              <w:t xml:space="preserve">Clientes finais</w:t>
            </w:r>
          </w:p>
        </w:tc>
        <w:tc>
          <w:tcPr>
            <w:tcW w:type="dxa" w:w="3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Pacientes, alunos, leitores, usuários de ferramentas.</w:t>
            </w:r>
          </w:p>
        </w:tc>
        <w:tc>
          <w:tcPr>
            <w:tcW w:type="dxa" w:w="38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Clareza, confiabilidade, resultado prático e linguagem acessível sem perder rigor.</w:t>
            </w:r>
          </w:p>
        </w:tc>
      </w:tr>
      <w:t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19"/>
                <w:szCs w:val="19"/>
              </w:rPr>
              <w:t xml:space="preserve">Pares e instituições</w:t>
            </w:r>
          </w:p>
        </w:tc>
        <w:tc>
          <w:tcPr>
            <w:tcW w:type="dxa" w:w="3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Médicos, academia, bancas, parceiros, contratantes técnicos.</w:t>
            </w:r>
          </w:p>
        </w:tc>
        <w:tc>
          <w:tcPr>
            <w:tcW w:type="dxa" w:w="38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Credibilidade científica, método explícito, sobriedade e domínio técnico demonstrável.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6"/>
          <w:szCs w:val="26"/>
        </w:rPr>
        <w:t xml:space="preserve">Perfil psicográfico comum</w:t>
      </w:r>
    </w:p>
    <w:p>
      <w:pPr>
        <w:spacing w:after="120"/>
      </w:pPr>
      <w:r>
        <w:rPr>
          <w:rFonts w:ascii="Hanken Grotesk" w:cs="Hanken Grotesk" w:eastAsia="Hanken Grotesk" w:hAnsi="Hanken Grotesk"/>
          <w:color w:val="111827"/>
          <w:sz w:val="21"/>
          <w:szCs w:val="21"/>
        </w:rPr>
        <w:t xml:space="preserve">Alta intencionalidade, sem elitismo vazio. O núcleo é disciplina inteligente, não culto à produtividade. Pessoas que valorizam experiência visual refinada, linguagem precisa e decisões guiadas por evidência.</w:t>
      </w:r>
    </w:p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A5E9C"/>
          <w:spacing w:val="30"/>
          <w:sz w:val="17"/>
          <w:szCs w:val="17"/>
        </w:rPr>
        <w:t xml:space="preserve">02 · ARQUITETURA DE MARCA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40"/>
          <w:szCs w:val="40"/>
        </w:rPr>
        <w:t xml:space="preserve">Marca-mãe e divisões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A AZLO opera como uma marca-mãe que empresta princípios, voz e sistema visual a quatro divisões. Mas marca não substitui capacidade real: as quatro não recebem o mesmo esforço ao mesmo tempo. A v4.0 introduz uma hierarquia explícita de maturidade — Tier 1, 2 e 3 — para que a arquitetura reflita a realidade de um operador único, não de uma equipe.</w:t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6"/>
          <w:szCs w:val="26"/>
        </w:rPr>
        <w:t xml:space="preserve">Tiers de maturidade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160"/>
      </w:tblGrid>
      <w:tr>
        <w:trPr>
          <w:tblHeader/>
        </w:trP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Significa</w:t>
            </w:r>
          </w:p>
        </w:tc>
        <w:tc>
          <w:tcPr>
            <w:tcW w:type="dxa" w:w="3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Critério de saída do tier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1A6B2E"/>
                <w:sz w:val="18"/>
                <w:szCs w:val="18"/>
              </w:rPr>
              <w:t xml:space="preserve">Tier 1 — Ativa</w:t>
            </w:r>
          </w:p>
        </w:tc>
        <w:tc>
          <w:tcPr>
            <w:tcW w:type="dxa" w:w="3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Recebe esforço de marca, conteúdo e publicação agora.</w:t>
            </w:r>
          </w:p>
        </w:tc>
        <w:tc>
          <w:tcPr>
            <w:tcW w:type="dxa" w:w="3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8A6D00"/>
                <w:sz w:val="18"/>
                <w:szCs w:val="18"/>
              </w:rPr>
              <w:t xml:space="preserve">Tier 2 — Background</w:t>
            </w:r>
          </w:p>
        </w:tc>
        <w:tc>
          <w:tcPr>
            <w:tcW w:type="dxa" w:w="3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Existe, é usada, mas sem obrigação de lançamento público.</w:t>
            </w:r>
          </w:p>
        </w:tc>
        <w:tc>
          <w:tcPr>
            <w:tcW w:type="dxa" w:w="3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Sai do Tier 2 quando houver uma ferramenta pronta para uso por terceiros.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5B6770"/>
                <w:sz w:val="18"/>
                <w:szCs w:val="18"/>
              </w:rPr>
              <w:t xml:space="preserve">Tier 3 — Reservada</w:t>
            </w:r>
          </w:p>
        </w:tc>
        <w:tc>
          <w:tcPr>
            <w:tcW w:type="dxa" w:w="3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Nome, cor e território reservados no papel. Zero esforço de marca.</w:t>
            </w:r>
          </w:p>
        </w:tc>
        <w:tc>
          <w:tcPr>
            <w:tcW w:type="dxa" w:w="3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Sai do Tier 3 quando houver produto: curso publicado, ou artigo aceito/submetido com regularidade.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6"/>
          <w:szCs w:val="26"/>
        </w:rPr>
        <w:t xml:space="preserve">As quatro divisões, por tier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050"/>
        <w:gridCol w:w="4060"/>
        <w:gridCol w:w="2500"/>
      </w:tblGrid>
      <w:tr>
        <w:trPr>
          <w:tblHeader/>
        </w:trPr>
        <w:tc>
          <w:tcPr>
            <w:tcW w:type="dxa" w:w="175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Divisão</w:t>
            </w:r>
          </w:p>
        </w:tc>
        <w:tc>
          <w:tcPr>
            <w:tcW w:type="dxa" w:w="105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4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O que abriga hoje</w:t>
            </w:r>
          </w:p>
        </w:tc>
        <w:tc>
          <w:tcPr>
            <w:tcW w:type="dxa" w:w="2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Público primário</w:t>
            </w:r>
          </w:p>
        </w:tc>
      </w:tr>
      <w:tr>
        <w:tc>
          <w:tcPr>
            <w:tcW w:type="dxa" w:w="175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18"/>
                <w:szCs w:val="18"/>
              </w:rPr>
              <w:t xml:space="preserve">AZLO Health</w:t>
            </w:r>
          </w:p>
        </w:tc>
        <w:tc>
          <w:tcPr>
            <w:tcW w:type="dxa" w:w="105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1A6B2E"/>
                <w:sz w:val="17"/>
                <w:szCs w:val="17"/>
              </w:rPr>
              <w:t xml:space="preserve">Tier 1</w:t>
            </w:r>
          </w:p>
        </w:tc>
        <w:tc>
          <w:tcPr>
            <w:tcW w:type="dxa" w:w="4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Prática clínica, protocolos, handbooks, prontuários — conteúdo real e recorrente.</w:t>
            </w:r>
          </w:p>
        </w:tc>
        <w:tc>
          <w:tcPr>
            <w:tcW w:type="dxa" w:w="2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Pacientes + pares clínicos</w:t>
            </w:r>
          </w:p>
        </w:tc>
      </w:tr>
      <w:tr>
        <w:tc>
          <w:tcPr>
            <w:tcW w:type="dxa" w:w="175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18"/>
                <w:szCs w:val="18"/>
              </w:rPr>
              <w:t xml:space="preserve">AZLO Labs</w:t>
            </w:r>
          </w:p>
        </w:tc>
        <w:tc>
          <w:tcPr>
            <w:tcW w:type="dxa" w:w="105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8A6D00"/>
                <w:sz w:val="17"/>
                <w:szCs w:val="17"/>
              </w:rPr>
              <w:t xml:space="preserve">Tier 2</w:t>
            </w:r>
          </w:p>
        </w:tc>
        <w:tc>
          <w:tcPr>
            <w:tcW w:type="dxa" w:w="4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Automações de uso próprio (briefing diário, ferramentas internas). Sem lançamento público ainda.</w:t>
            </w:r>
          </w:p>
        </w:tc>
        <w:tc>
          <w:tcPr>
            <w:tcW w:type="dxa" w:w="2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Você mesmo, por ora</w:t>
            </w:r>
          </w:p>
        </w:tc>
      </w:tr>
      <w:tr>
        <w:tc>
          <w:tcPr>
            <w:tcW w:type="dxa" w:w="175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18"/>
                <w:szCs w:val="18"/>
              </w:rPr>
              <w:t xml:space="preserve">AZLO Education</w:t>
            </w:r>
          </w:p>
        </w:tc>
        <w:tc>
          <w:tcPr>
            <w:tcW w:type="dxa" w:w="105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5B6770"/>
                <w:sz w:val="17"/>
                <w:szCs w:val="17"/>
              </w:rPr>
              <w:t xml:space="preserve">Tier 3</w:t>
            </w:r>
          </w:p>
        </w:tc>
        <w:tc>
          <w:tcPr>
            <w:tcW w:type="dxa" w:w="4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Nome e território reservados. Sai do tier quando o curso for publicado.</w:t>
            </w:r>
          </w:p>
        </w:tc>
        <w:tc>
          <w:tcPr>
            <w:tcW w:type="dxa" w:w="2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Alunos + instituições (futuro)</w:t>
            </w:r>
          </w:p>
        </w:tc>
      </w:tr>
      <w:tr>
        <w:tc>
          <w:tcPr>
            <w:tcW w:type="dxa" w:w="175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18"/>
                <w:szCs w:val="18"/>
              </w:rPr>
              <w:t xml:space="preserve">AZLO Science</w:t>
            </w:r>
          </w:p>
        </w:tc>
        <w:tc>
          <w:tcPr>
            <w:tcW w:type="dxa" w:w="105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5B6770"/>
                <w:sz w:val="17"/>
                <w:szCs w:val="17"/>
              </w:rPr>
              <w:t xml:space="preserve">Tier 3</w:t>
            </w:r>
          </w:p>
        </w:tc>
        <w:tc>
          <w:tcPr>
            <w:tcW w:type="dxa" w:w="4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Nome e território reservados. Sai do tier com submissão/publicação regular.</w:t>
            </w:r>
          </w:p>
        </w:tc>
        <w:tc>
          <w:tcPr>
            <w:tcW w:type="dxa" w:w="2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Academia (futuro)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00AFCB" w:sz="4" w:space="10"/>
        </w:pBdr>
        <w:spacing w:after="0" w:before="160"/>
      </w:pPr>
      <w:r>
        <w:t xml:space="preserve"/>
      </w:r>
    </w:p>
    <w:p>
      <w:pPr>
        <w:spacing w:after="100" w:before="140"/>
        <w:ind w:left="260"/>
      </w:pPr>
      <w:r>
        <w:rPr>
          <w:rFonts w:ascii="Fraunces" w:cs="Fraunces" w:eastAsia="Fraunces" w:hAnsi="Fraunces"/>
          <w:b/>
          <w:bCs/>
          <w:color w:val="052B57"/>
          <w:sz w:val="20"/>
          <w:szCs w:val="20"/>
        </w:rPr>
        <w:t xml:space="preserve">Por que isso muda o documento</w:t>
      </w:r>
    </w:p>
    <w:p>
      <w:pPr>
        <w:spacing w:after="0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Um brand book que trata quatro divisões como pares simétricos esconde uma hierarquia de maturidade real. 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Education e Science hoje são intenção, não operação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 — tratá-las com o mesmo peso visual que Health cria a ilusão de uma empresa maior do que ela é. A hierarquia de tiers existe para que o esforço de marca siga a realidade, não o contrário.</w:t>
      </w:r>
    </w:p>
    <w:p>
      <w:pPr>
        <w:pBdr>
          <w:bottom w:val="single" w:color="D5E2EC" w:sz="4" w:space="10"/>
        </w:pBdr>
        <w:spacing w:after="200" w:before="14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6"/>
          <w:szCs w:val="26"/>
        </w:rPr>
        <w:t xml:space="preserve">Por que cada divisão existe</w:t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6"/>
          <w:szCs w:val="26"/>
        </w:rPr>
        <w:t xml:space="preserve">AZLO Health — Tier 1</w:t>
      </w:r>
    </w:p>
    <w:p>
      <w:pPr>
        <w:spacing w:after="120"/>
      </w:pPr>
      <w:r>
        <w:rPr>
          <w:rFonts w:ascii="Hanken Grotesk" w:cs="Hanken Grotesk" w:eastAsia="Hanken Grotesk" w:hAnsi="Hanken Grotesk"/>
          <w:color w:val="111827"/>
          <w:sz w:val="21"/>
          <w:szCs w:val="21"/>
        </w:rPr>
        <w:t xml:space="preserve">“Health” não precisa de justificativa: é sua prática, sua carreira em andamento, e onde a marca tem conteúdo real para sustentar a promessa. Recebe a tagline de divisão, recebe acento de cor, recebe esforço de publicação.</w:t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6"/>
          <w:szCs w:val="26"/>
        </w:rPr>
        <w:t xml:space="preserve">AZLO Labs — Tier 2</w:t>
      </w:r>
    </w:p>
    <w:p>
      <w:pPr>
        <w:spacing w:after="120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“Labs” comunica experimentação com rigor — testar, medir, refinar. Evita o tom de “software house” e acomoda seu estágio atual (entusiasta avançando para técnico) sem prometer maturidade que ainda não existe. 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Continua em uso interno até que uma ferramenta esteja madura para terceiros.</w:t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6"/>
          <w:szCs w:val="26"/>
        </w:rPr>
        <w:t xml:space="preserve">AZLO Education e AZLO Science — Tier 3</w:t>
      </w:r>
    </w:p>
    <w:p>
      <w:pPr>
        <w:spacing w:after="120"/>
      </w:pPr>
      <w:r>
        <w:rPr>
          <w:rFonts w:ascii="Hanken Grotesk" w:cs="Hanken Grotesk" w:eastAsia="Hanken Grotesk" w:hAnsi="Hanken Grotesk"/>
          <w:color w:val="111827"/>
          <w:sz w:val="21"/>
          <w:szCs w:val="21"/>
        </w:rPr>
        <w:t xml:space="preserve">Reservadas no papel porque o nome e a cor já fazem sentido estratégico — mas não recebem esforço de marca, conteúdo dedicado ou lançamento até terem produto real por trás. Isso evita o erro mais comum de marcas pessoais em expansão: anunciar antes de construir.</w:t>
      </w:r>
    </w:p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A5E9C"/>
          <w:spacing w:val="30"/>
          <w:sz w:val="17"/>
          <w:szCs w:val="17"/>
        </w:rPr>
        <w:t xml:space="preserve">02 · ARQUITETURA DE MARCA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40"/>
          <w:szCs w:val="40"/>
        </w:rPr>
        <w:t xml:space="preserve">Regras de nomenclatura e relação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A consistência da arquitetura depende de regras claras sobre como mãe e divisões aparecem juntas — e de uma linha verbal própria para cada divisão, que evite uma única tagline genérica tentando cobrir tudo.</w:t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6"/>
          <w:szCs w:val="26"/>
        </w:rPr>
        <w:t xml:space="preserve">Lockup das divisões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Formato: 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AZLO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 em peso forte + 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nome da divisão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 em peso regular, mesma linha de base. Ex.: 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052B57"/>
          <w:sz w:val="21"/>
          <w:szCs w:val="21"/>
        </w:rPr>
        <w:t xml:space="preserve">AZLO 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0A5E9C"/>
          <w:sz w:val="21"/>
          <w:szCs w:val="21"/>
        </w:rPr>
        <w:t xml:space="preserve">Labs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color w:val="111827"/>
          <w:sz w:val="21"/>
          <w:szCs w:val="21"/>
        </w:rPr>
        <w:t xml:space="preserve">O símbolo (monograma A/Z) é sempre da marca-mãe; divisões não recebem símbolo próprio nesta fase.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color w:val="111827"/>
          <w:sz w:val="21"/>
          <w:szCs w:val="21"/>
        </w:rPr>
        <w:t xml:space="preserve">A tagline institucional pertence à mãe. Cada divisão tem sua própria linha de apoio (ver tabela abaixo) — isso evita forçar uma frase só a representar saúde, ensino, ciência e tecnologia ao mesmo tempo.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6"/>
          <w:szCs w:val="26"/>
        </w:rPr>
        <w:t xml:space="preserve">Taglines de divisão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Divisão</w:t>
            </w:r>
          </w:p>
        </w:tc>
        <w:tc>
          <w:tcPr>
            <w:tcW w:type="dxa" w:w="6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Linha de apoio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18"/>
                <w:szCs w:val="18"/>
              </w:rPr>
              <w:t xml:space="preserve">AZLO Health</w:t>
            </w:r>
          </w:p>
        </w:tc>
        <w:tc>
          <w:tcPr>
            <w:tcW w:type="dxa" w:w="6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i/>
                <w:iCs/>
                <w:color w:val="111827"/>
                <w:sz w:val="19"/>
                <w:szCs w:val="19"/>
              </w:rPr>
              <w:t xml:space="preserve">Onde a clínica encontra o sistema.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18"/>
                <w:szCs w:val="18"/>
              </w:rPr>
              <w:t xml:space="preserve">AZLO Labs</w:t>
            </w:r>
          </w:p>
        </w:tc>
        <w:tc>
          <w:tcPr>
            <w:tcW w:type="dxa" w:w="6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i/>
                <w:iCs/>
                <w:color w:val="111827"/>
                <w:sz w:val="19"/>
                <w:szCs w:val="19"/>
              </w:rPr>
              <w:t xml:space="preserve">Ferramentas que executam o método.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5B6770"/>
                <w:sz w:val="18"/>
                <w:szCs w:val="18"/>
              </w:rPr>
              <w:t xml:space="preserve">AZLO Education</w:t>
            </w:r>
          </w:p>
        </w:tc>
        <w:tc>
          <w:tcPr>
            <w:tcW w:type="dxa" w:w="6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i/>
                <w:iCs/>
                <w:color w:val="5B6770"/>
                <w:sz w:val="19"/>
                <w:szCs w:val="19"/>
              </w:rPr>
              <w:t xml:space="preserve">Conhecimento estruturado, não improvisado.</w:t>
            </w:r>
          </w:p>
          <w:p>
            <w:r>
              <w:rPr>
                <w:rFonts w:ascii="Hanken Grotesk" w:cs="Hanken Grotesk" w:eastAsia="Hanken Grotesk" w:hAnsi="Hanken Grotesk"/>
                <w:color w:val="5B6770"/>
                <w:sz w:val="16"/>
                <w:szCs w:val="16"/>
              </w:rPr>
              <w:t xml:space="preserve">  (reservada)</w:t>
            </w:r>
          </w:p>
        </w:tc>
      </w:tr>
      <w:tr>
        <w:tc>
          <w:tcPr>
            <w:tcW w:type="dxa" w:w="2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5B6770"/>
                <w:sz w:val="18"/>
                <w:szCs w:val="18"/>
              </w:rPr>
              <w:t xml:space="preserve">AZLO Science</w:t>
            </w:r>
          </w:p>
        </w:tc>
        <w:tc>
          <w:tcPr>
            <w:tcW w:type="dxa" w:w="6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i/>
                <w:iCs/>
                <w:color w:val="5B6770"/>
                <w:sz w:val="19"/>
                <w:szCs w:val="19"/>
              </w:rPr>
              <w:t xml:space="preserve">Evidência antes de opinião.</w:t>
            </w:r>
          </w:p>
          <w:p>
            <w:r>
              <w:rPr>
                <w:rFonts w:ascii="Hanken Grotesk" w:cs="Hanken Grotesk" w:eastAsia="Hanken Grotesk" w:hAnsi="Hanken Grotesk"/>
                <w:color w:val="5B6770"/>
                <w:sz w:val="16"/>
                <w:szCs w:val="16"/>
              </w:rPr>
              <w:t xml:space="preserve">  (reservada)</w:t>
            </w:r>
          </w:p>
        </w:tc>
      </w:tr>
    </w:tbl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6"/>
          <w:szCs w:val="26"/>
        </w:rPr>
        <w:t xml:space="preserve">Hierarquia de cor por divisão</w:t>
      </w:r>
    </w:p>
    <w:p>
      <w:pPr>
        <w:spacing w:after="120"/>
      </w:pPr>
      <w:r>
        <w:rPr>
          <w:rFonts w:ascii="Hanken Grotesk" w:cs="Hanken Grotesk" w:eastAsia="Hanken Grotesk" w:hAnsi="Hanken Grotesk"/>
          <w:color w:val="111827"/>
          <w:sz w:val="21"/>
          <w:szCs w:val="21"/>
        </w:rPr>
        <w:t xml:space="preserve">Todas as divisões usam a mesma paleta. A diferenciação é sutil — feita pelo acento dominante, nunca por cores novas. Ordenado por tier de maturidade: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900"/>
        <w:gridCol w:w="3060"/>
        <w:gridCol w:w="3240"/>
      </w:tblGrid>
      <w:tr>
        <w:trPr>
          <w:tblHeader/>
        </w:trPr>
        <w:tc>
          <w:tcPr>
            <w:tcW w:type="dxa" w:w="2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Divisão</w:t>
            </w:r>
          </w:p>
        </w:tc>
        <w:tc>
          <w:tcPr>
            <w:tcW w:type="dxa" w:w="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  <w:tc>
          <w:tcPr>
            <w:tcW w:type="dxa" w:w="3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Acento-assinatura</w:t>
            </w:r>
          </w:p>
        </w:tc>
        <w:tc>
          <w:tcPr>
            <w:tcW w:type="dxa" w:w="324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Leitura</w:t>
            </w:r>
          </w:p>
        </w:tc>
      </w:tr>
      <w:tr>
        <w:tc>
          <w:tcPr>
            <w:tcW w:type="dxa" w:w="2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18"/>
                <w:szCs w:val="18"/>
              </w:rPr>
              <w:t xml:space="preserve">AZLO Health</w:t>
            </w:r>
          </w:p>
        </w:tc>
        <w:tc>
          <w:tcPr>
            <w:tcW w:type="dxa" w:w="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1A6B2E"/>
                <w:sz w:val="17"/>
                <w:szCs w:val="17"/>
              </w:rPr>
              <w:t xml:space="preserve">1</w:t>
            </w:r>
          </w:p>
        </w:tc>
        <w:tc>
          <w:tcPr>
            <w:tcW w:type="dxa" w:w="3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00AFCB"/>
                <w:sz w:val="17"/>
                <w:szCs w:val="17"/>
              </w:rPr>
              <w:t xml:space="preserve">Arc Teal (#00AFCB)</w:t>
            </w:r>
          </w:p>
        </w:tc>
        <w:tc>
          <w:tcPr>
            <w:tcW w:type="dxa" w:w="324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Vitalidade, clareza biológica.</w:t>
            </w:r>
          </w:p>
        </w:tc>
      </w:tr>
      <w:tr>
        <w:tc>
          <w:tcPr>
            <w:tcW w:type="dxa" w:w="2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18"/>
                <w:szCs w:val="18"/>
              </w:rPr>
              <w:t xml:space="preserve">AZLO Labs</w:t>
            </w:r>
          </w:p>
        </w:tc>
        <w:tc>
          <w:tcPr>
            <w:tcW w:type="dxa" w:w="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8A6D00"/>
                <w:sz w:val="17"/>
                <w:szCs w:val="17"/>
              </w:rPr>
              <w:t xml:space="preserve">2</w:t>
            </w:r>
          </w:p>
        </w:tc>
        <w:tc>
          <w:tcPr>
            <w:tcW w:type="dxa" w:w="3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1FA9BD"/>
                <w:sz w:val="17"/>
                <w:szCs w:val="17"/>
              </w:rPr>
              <w:t xml:space="preserve">Vital Cyan (#35D3E6)</w:t>
            </w:r>
          </w:p>
        </w:tc>
        <w:tc>
          <w:tcPr>
            <w:tcW w:type="dxa" w:w="324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Energia, interface, experimentação.</w:t>
            </w:r>
          </w:p>
        </w:tc>
      </w:tr>
      <w:tr>
        <w:tc>
          <w:tcPr>
            <w:tcW w:type="dxa" w:w="2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5B6770"/>
                <w:sz w:val="18"/>
                <w:szCs w:val="18"/>
              </w:rPr>
              <w:t xml:space="preserve">AZLO Education</w:t>
            </w:r>
          </w:p>
        </w:tc>
        <w:tc>
          <w:tcPr>
            <w:tcW w:type="dxa" w:w="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5B6770"/>
                <w:sz w:val="17"/>
                <w:szCs w:val="17"/>
              </w:rPr>
              <w:t xml:space="preserve">3</w:t>
            </w:r>
          </w:p>
        </w:tc>
        <w:tc>
          <w:tcPr>
            <w:tcW w:type="dxa" w:w="3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0A5E9C"/>
                <w:sz w:val="17"/>
                <w:szCs w:val="17"/>
              </w:rPr>
              <w:t xml:space="preserve">Zenith Blue (#0A5E9C)</w:t>
            </w:r>
          </w:p>
        </w:tc>
        <w:tc>
          <w:tcPr>
            <w:tcW w:type="dxa" w:w="324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Estrutura, didática, confiança. Reservada.</w:t>
            </w:r>
          </w:p>
        </w:tc>
      </w:tr>
      <w:tr>
        <w:tc>
          <w:tcPr>
            <w:tcW w:type="dxa" w:w="2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5B6770"/>
                <w:sz w:val="18"/>
                <w:szCs w:val="18"/>
              </w:rPr>
              <w:t xml:space="preserve">AZLO Science</w:t>
            </w:r>
          </w:p>
        </w:tc>
        <w:tc>
          <w:tcPr>
            <w:tcW w:type="dxa" w:w="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5B6770"/>
                <w:sz w:val="17"/>
                <w:szCs w:val="17"/>
              </w:rPr>
              <w:t xml:space="preserve">3</w:t>
            </w:r>
          </w:p>
        </w:tc>
        <w:tc>
          <w:tcPr>
            <w:tcW w:type="dxa" w:w="3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052B57"/>
                <w:sz w:val="17"/>
                <w:szCs w:val="17"/>
              </w:rPr>
              <w:t xml:space="preserve">Deep Navy (#052B57)</w:t>
            </w:r>
          </w:p>
        </w:tc>
        <w:tc>
          <w:tcPr>
            <w:tcW w:type="dxa" w:w="324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Autoridade, sobriedade, rigor. Reservada.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0AFCB"/>
          <w:spacing w:val="30"/>
          <w:sz w:val="17"/>
          <w:szCs w:val="17"/>
        </w:rPr>
        <w:t xml:space="preserve">03 · IDENTIDADE CONCEITUAL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40"/>
          <w:szCs w:val="40"/>
        </w:rPr>
        <w:t xml:space="preserve">Narrativa Alpha → Zenith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O nome contém a própria arquitetura da marca: origem, método, ápice e refinamento contínuo. Vale para um paciente, um aluno, um artigo ou um sistema de automação.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260"/>
      </w:tblGrid>
      <w:tr>
        <w:trPr>
          <w:tblHeader/>
        </w:trPr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Conceito</w:t>
            </w:r>
          </w:p>
        </w:tc>
        <w:tc>
          <w:tcPr>
            <w:tcW w:type="dxa" w:w="5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O que significa em qualquer domínio</w:t>
            </w:r>
          </w:p>
        </w:tc>
      </w:tr>
      <w:tr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0AFCB"/>
                <w:sz w:val="19"/>
                <w:szCs w:val="19"/>
              </w:rPr>
              <w:t xml:space="preserve">ALPHA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Início consciente</w:t>
            </w:r>
          </w:p>
        </w:tc>
        <w:tc>
          <w:tcPr>
            <w:tcW w:type="dxa" w:w="5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Diagnosticar a realidade, definir o ponto de partida, assumir direção.</w:t>
            </w:r>
          </w:p>
        </w:tc>
      </w:tr>
      <w:tr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A5E9C"/>
                <w:sz w:val="19"/>
                <w:szCs w:val="19"/>
              </w:rPr>
              <w:t xml:space="preserve">VECTOR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Método</w:t>
            </w:r>
          </w:p>
        </w:tc>
        <w:tc>
          <w:tcPr>
            <w:tcW w:type="dxa" w:w="5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Traduzir metas em protocolo, rotina e indicadores acompanháveis.</w:t>
            </w:r>
          </w:p>
        </w:tc>
      </w:tr>
      <w:tr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19"/>
                <w:szCs w:val="19"/>
              </w:rPr>
              <w:t xml:space="preserve">ZENITH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Ápice funcional</w:t>
            </w:r>
          </w:p>
        </w:tc>
        <w:tc>
          <w:tcPr>
            <w:tcW w:type="dxa" w:w="5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Atingir desempenho elevado com coerência e consistência.</w:t>
            </w:r>
          </w:p>
        </w:tc>
      </w:tr>
      <w:tr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1FA9BD"/>
                <w:sz w:val="19"/>
                <w:szCs w:val="19"/>
              </w:rPr>
              <w:t xml:space="preserve">OPTIMIZATION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Ciclo contínuo</w:t>
            </w:r>
          </w:p>
        </w:tc>
        <w:tc>
          <w:tcPr>
            <w:tcW w:type="dxa" w:w="52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Revisar, ajustar e refinar o sistema ao longo do tempo.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00AFCB" w:sz="4" w:space="10"/>
        </w:pBdr>
        <w:spacing w:after="0" w:before="160"/>
      </w:pPr>
      <w:r>
        <w:t xml:space="preserve"/>
      </w:r>
    </w:p>
    <w:p>
      <w:pPr>
        <w:spacing w:after="100" w:before="140"/>
        <w:ind w:left="260"/>
      </w:pPr>
      <w:r>
        <w:rPr>
          <w:rFonts w:ascii="Fraunces" w:cs="Fraunces" w:eastAsia="Fraunces" w:hAnsi="Fraunces"/>
          <w:b/>
          <w:bCs/>
          <w:color w:val="052B57"/>
          <w:sz w:val="20"/>
          <w:szCs w:val="20"/>
        </w:rPr>
        <w:t xml:space="preserve">Frase-guia</w:t>
      </w:r>
    </w:p>
    <w:p>
      <w:pPr>
        <w:spacing w:after="0"/>
      </w:pPr>
      <w:r>
        <w:rPr>
          <w:rFonts w:ascii="Hanken Grotesk" w:cs="Hanken Grotesk" w:eastAsia="Hanken Grotesk" w:hAnsi="Hanken Grotesk"/>
          <w:b w:val="false"/>
          <w:bCs w:val="false"/>
          <w:i/>
          <w:iCs/>
          <w:color w:val="111827"/>
          <w:sz w:val="21"/>
          <w:szCs w:val="21"/>
        </w:rPr>
        <w:t xml:space="preserve">Sair do modo reativo, construir direção e operar a própria vida — e os próprios sistemas — como engenharia de alto desempenho sustentável.</w:t>
      </w:r>
    </w:p>
    <w:p>
      <w:pPr>
        <w:pBdr>
          <w:bottom w:val="single" w:color="D5E2EC" w:sz="4" w:space="10"/>
        </w:pBdr>
        <w:spacing w:after="200" w:before="140"/>
      </w:pPr>
      <w:r>
        <w:t xml:space="preserve"/>
      </w:r>
    </w:p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0AFCB"/>
          <w:spacing w:val="30"/>
          <w:sz w:val="17"/>
          <w:szCs w:val="17"/>
        </w:rPr>
        <w:t xml:space="preserve">03 · IDENTIDADE CONCEITUAL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40"/>
          <w:szCs w:val="40"/>
        </w:rPr>
        <w:t xml:space="preserve">Pilares da marca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O que a AZLO nunca deve perder, mesmo ao mudar de formato, divisão ou canal.</w:t>
      </w:r>
    </w:p>
    <w:p>
      <w:pPr>
        <w:spacing w:after="20" w:before="60"/>
      </w:pPr>
      <w:r>
        <w:rPr>
          <w:color w:val="00AFCB"/>
          <w:sz w:val="21"/>
          <w:szCs w:val="21"/>
        </w:rPr>
        <w:t xml:space="preserve">▸ </w:t>
      </w:r>
      <w:r>
        <w:rPr>
          <w:rFonts w:ascii="Fraunces" w:cs="Fraunces" w:eastAsia="Fraunces" w:hAnsi="Fraunces"/>
          <w:b/>
          <w:bCs/>
          <w:color w:val="052B57"/>
          <w:sz w:val="22"/>
          <w:szCs w:val="22"/>
        </w:rPr>
        <w:t xml:space="preserve">Precisão</w:t>
      </w:r>
    </w:p>
    <w:p>
      <w:pPr>
        <w:spacing w:after="40"/>
        <w:ind w:left="360"/>
      </w:pP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Fala com método, critério e mensuração. Evita frases motivacionais vagas.</w:t>
      </w:r>
    </w:p>
    <w:p>
      <w:pPr>
        <w:spacing w:after="20" w:before="60"/>
      </w:pPr>
      <w:r>
        <w:rPr>
          <w:color w:val="00AFCB"/>
          <w:sz w:val="21"/>
          <w:szCs w:val="21"/>
        </w:rPr>
        <w:t xml:space="preserve">▸ </w:t>
      </w:r>
      <w:r>
        <w:rPr>
          <w:rFonts w:ascii="Fraunces" w:cs="Fraunces" w:eastAsia="Fraunces" w:hAnsi="Fraunces"/>
          <w:b/>
          <w:bCs/>
          <w:color w:val="052B57"/>
          <w:sz w:val="22"/>
          <w:szCs w:val="22"/>
        </w:rPr>
        <w:t xml:space="preserve">Ascensão</w:t>
      </w:r>
    </w:p>
    <w:p>
      <w:pPr>
        <w:spacing w:after="40"/>
        <w:ind w:left="360"/>
      </w:pP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Comunica progresso e direção. O ápice é construído, não prometido.</w:t>
      </w:r>
    </w:p>
    <w:p>
      <w:pPr>
        <w:spacing w:after="20" w:before="60"/>
      </w:pPr>
      <w:r>
        <w:rPr>
          <w:color w:val="00AFCB"/>
          <w:sz w:val="21"/>
          <w:szCs w:val="21"/>
        </w:rPr>
        <w:t xml:space="preserve">▸ </w:t>
      </w:r>
      <w:r>
        <w:rPr>
          <w:rFonts w:ascii="Fraunces" w:cs="Fraunces" w:eastAsia="Fraunces" w:hAnsi="Fraunces"/>
          <w:b/>
          <w:bCs/>
          <w:color w:val="052B57"/>
          <w:sz w:val="22"/>
          <w:szCs w:val="22"/>
        </w:rPr>
        <w:t xml:space="preserve">Integração</w:t>
      </w:r>
    </w:p>
    <w:p>
      <w:pPr>
        <w:spacing w:after="40"/>
        <w:ind w:left="360"/>
      </w:pP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Enxerga tudo como sistema: saúde, conhecimento, rotina e ferramentas.</w:t>
      </w:r>
    </w:p>
    <w:p>
      <w:pPr>
        <w:spacing w:after="20" w:before="60"/>
      </w:pPr>
      <w:r>
        <w:rPr>
          <w:color w:val="00AFCB"/>
          <w:sz w:val="21"/>
          <w:szCs w:val="21"/>
        </w:rPr>
        <w:t xml:space="preserve">▸ </w:t>
      </w:r>
      <w:r>
        <w:rPr>
          <w:rFonts w:ascii="Fraunces" w:cs="Fraunces" w:eastAsia="Fraunces" w:hAnsi="Fraunces"/>
          <w:b/>
          <w:bCs/>
          <w:color w:val="052B57"/>
          <w:sz w:val="22"/>
          <w:szCs w:val="22"/>
        </w:rPr>
        <w:t xml:space="preserve">Sustentabilidade</w:t>
      </w:r>
    </w:p>
    <w:p>
      <w:pPr>
        <w:spacing w:after="40"/>
        <w:ind w:left="360"/>
      </w:pP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Performance sem autodestruição. Consistência acima de intensidade episódica.</w:t>
      </w:r>
    </w:p>
    <w:p>
      <w:pPr>
        <w:spacing w:after="20" w:before="60"/>
      </w:pPr>
      <w:r>
        <w:rPr>
          <w:color w:val="00AFCB"/>
          <w:sz w:val="21"/>
          <w:szCs w:val="21"/>
        </w:rPr>
        <w:t xml:space="preserve">▸ </w:t>
      </w:r>
      <w:r>
        <w:rPr>
          <w:rFonts w:ascii="Fraunces" w:cs="Fraunces" w:eastAsia="Fraunces" w:hAnsi="Fraunces"/>
          <w:b/>
          <w:bCs/>
          <w:color w:val="052B57"/>
          <w:sz w:val="22"/>
          <w:szCs w:val="22"/>
        </w:rPr>
        <w:t xml:space="preserve">Elegância técnica</w:t>
      </w:r>
    </w:p>
    <w:p>
      <w:pPr>
        <w:spacing w:after="40"/>
        <w:ind w:left="360"/>
      </w:pP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Visual limpo e racional. A estética reforça a confiança.</w:t>
      </w:r>
    </w:p>
    <w:p>
      <w:pPr>
        <w:spacing w:after="20" w:before="60"/>
      </w:pPr>
      <w:r>
        <w:rPr>
          <w:color w:val="00AFCB"/>
          <w:sz w:val="21"/>
          <w:szCs w:val="21"/>
        </w:rPr>
        <w:t xml:space="preserve">▸ </w:t>
      </w:r>
      <w:r>
        <w:rPr>
          <w:rFonts w:ascii="Fraunces" w:cs="Fraunces" w:eastAsia="Fraunces" w:hAnsi="Fraunces"/>
          <w:b/>
          <w:bCs/>
          <w:color w:val="052B57"/>
          <w:sz w:val="22"/>
          <w:szCs w:val="22"/>
        </w:rPr>
        <w:t xml:space="preserve">Autonomia</w:t>
      </w:r>
    </w:p>
    <w:p>
      <w:pPr>
        <w:spacing w:after="40"/>
        <w:ind w:left="360"/>
      </w:pP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Educa e organiza sem criar dependência nem culto a guru.</w:t>
      </w:r>
    </w:p>
    <w:p>
      <w:pPr>
        <w:spacing w:after="20" w:before="60"/>
      </w:pPr>
      <w:r>
        <w:rPr>
          <w:color w:val="00AFCB"/>
          <w:sz w:val="21"/>
          <w:szCs w:val="21"/>
        </w:rPr>
        <w:t xml:space="preserve">▸ </w:t>
      </w:r>
      <w:r>
        <w:rPr>
          <w:rFonts w:ascii="Fraunces" w:cs="Fraunces" w:eastAsia="Fraunces" w:hAnsi="Fraunces"/>
          <w:b/>
          <w:bCs/>
          <w:color w:val="052B57"/>
          <w:sz w:val="22"/>
          <w:szCs w:val="22"/>
        </w:rPr>
        <w:t xml:space="preserve">Alavancagem técnica</w:t>
      </w:r>
    </w:p>
    <w:p>
      <w:pPr>
        <w:spacing w:after="40"/>
        <w:ind w:left="360"/>
      </w:pP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Usa tecnologia para tornar o método replicável, medível e escalável.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O sétimo pilar — 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alavancagem técnica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 — é novo na v2.0. É ele que dá lastro à AZLO Labs e ao valor que você considera crucial: o vínculo com a tecnologia.</w:t>
      </w:r>
    </w:p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0AFCB"/>
          <w:spacing w:val="30"/>
          <w:sz w:val="17"/>
          <w:szCs w:val="17"/>
        </w:rPr>
        <w:t xml:space="preserve">03 · IDENTIDADE CONCEITUAL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40"/>
          <w:szCs w:val="40"/>
        </w:rPr>
        <w:t xml:space="preserve">Personalidade e arquétipos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A AZLO soa como um operador-cientista de alta confiança — não como influenciador motivacional.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4460"/>
      </w:tblGrid>
      <w:tr>
        <w:trPr>
          <w:tblHeader/>
        </w:trPr>
        <w:tc>
          <w:tcPr>
            <w:tcW w:type="dxa" w:w="2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Arquétipo</w:t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Papel</w:t>
            </w:r>
          </w:p>
        </w:tc>
        <w:tc>
          <w:tcPr>
            <w:tcW w:type="dxa" w:w="44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Como se manifesta</w:t>
            </w:r>
          </w:p>
        </w:tc>
      </w:tr>
      <w:tr>
        <w:tc>
          <w:tcPr>
            <w:tcW w:type="dxa" w:w="2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18"/>
                <w:szCs w:val="18"/>
              </w:rPr>
              <w:t xml:space="preserve">Sábio (primário)</w:t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Entendimento e método</w:t>
            </w:r>
          </w:p>
        </w:tc>
        <w:tc>
          <w:tcPr>
            <w:tcW w:type="dxa" w:w="44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Traduz complexidade em decisão. Maturidade, sobriedade, critério.</w:t>
            </w:r>
          </w:p>
        </w:tc>
      </w:tr>
      <w:tr>
        <w:tc>
          <w:tcPr>
            <w:tcW w:type="dxa" w:w="2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18"/>
                <w:szCs w:val="18"/>
              </w:rPr>
              <w:t xml:space="preserve">Explorador (secundário)</w:t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Expansão de limites</w:t>
            </w:r>
          </w:p>
        </w:tc>
        <w:tc>
          <w:tcPr>
            <w:tcW w:type="dxa" w:w="44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Empurra fronteiras por trajetória calculada, sem sensacionalismo.</w:t>
            </w:r>
          </w:p>
        </w:tc>
      </w:tr>
      <w:tr>
        <w:tc>
          <w:tcPr>
            <w:tcW w:type="dxa" w:w="25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18"/>
                <w:szCs w:val="18"/>
              </w:rPr>
              <w:t xml:space="preserve">Artífice (terciário)</w:t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Construção de sistemas</w:t>
            </w:r>
          </w:p>
        </w:tc>
        <w:tc>
          <w:tcPr>
            <w:tcW w:type="dxa" w:w="44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Constrói as ferramentas que executam o método. O lado AZLO Labs.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6"/>
          <w:szCs w:val="26"/>
        </w:rPr>
        <w:t xml:space="preserve">Escala de personalidade</w:t>
      </w:r>
    </w:p>
    <w:p>
      <w:pPr>
        <w:spacing w:after="60"/>
      </w:pPr>
      <w:r>
        <w:rPr>
          <w:rFonts w:ascii="Hanken Grotesk" w:cs="Hanken Grotesk" w:eastAsia="Hanken Grotesk" w:hAnsi="Hanken Grotesk"/>
          <w:b/>
          <w:bCs/>
          <w:color w:val="052B57"/>
          <w:sz w:val="19"/>
          <w:szCs w:val="19"/>
        </w:rPr>
        <w:t xml:space="preserve">Científica      </w:t>
      </w:r>
      <w:r>
        <w:rPr>
          <w:color w:val="00AFCB"/>
          <w:sz w:val="19"/>
          <w:szCs w:val="19"/>
        </w:rPr>
        <w:t xml:space="preserve">  █████████████████</w:t>
      </w:r>
      <w:r>
        <w:rPr>
          <w:color w:val="D5E2EC"/>
          <w:sz w:val="19"/>
          <w:szCs w:val="19"/>
        </w:rPr>
        <w:t xml:space="preserve">░░░</w:t>
      </w:r>
      <w:r>
        <w:rPr>
          <w:rFonts w:ascii="Hanken Grotesk" w:cs="Hanken Grotesk" w:eastAsia="Hanken Grotesk" w:hAnsi="Hanken Grotesk"/>
          <w:color w:val="5B6770"/>
          <w:sz w:val="18"/>
          <w:szCs w:val="18"/>
        </w:rPr>
        <w:t xml:space="preserve">  86%</w:t>
      </w:r>
    </w:p>
    <w:p>
      <w:pPr>
        <w:spacing w:after="60"/>
      </w:pPr>
      <w:r>
        <w:rPr>
          <w:rFonts w:ascii="Hanken Grotesk" w:cs="Hanken Grotesk" w:eastAsia="Hanken Grotesk" w:hAnsi="Hanken Grotesk"/>
          <w:b/>
          <w:bCs/>
          <w:color w:val="052B57"/>
          <w:sz w:val="19"/>
          <w:szCs w:val="19"/>
        </w:rPr>
        <w:t xml:space="preserve">Minimalista     </w:t>
      </w:r>
      <w:r>
        <w:rPr>
          <w:color w:val="00AFCB"/>
          <w:sz w:val="19"/>
          <w:szCs w:val="19"/>
        </w:rPr>
        <w:t xml:space="preserve">  ████████████████</w:t>
      </w:r>
      <w:r>
        <w:rPr>
          <w:color w:val="D5E2EC"/>
          <w:sz w:val="19"/>
          <w:szCs w:val="19"/>
        </w:rPr>
        <w:t xml:space="preserve">░░░░</w:t>
      </w:r>
      <w:r>
        <w:rPr>
          <w:rFonts w:ascii="Hanken Grotesk" w:cs="Hanken Grotesk" w:eastAsia="Hanken Grotesk" w:hAnsi="Hanken Grotesk"/>
          <w:color w:val="5B6770"/>
          <w:sz w:val="18"/>
          <w:szCs w:val="18"/>
        </w:rPr>
        <w:t xml:space="preserve">  82%</w:t>
      </w:r>
    </w:p>
    <w:p>
      <w:pPr>
        <w:spacing w:after="60"/>
      </w:pPr>
      <w:r>
        <w:rPr>
          <w:rFonts w:ascii="Hanken Grotesk" w:cs="Hanken Grotesk" w:eastAsia="Hanken Grotesk" w:hAnsi="Hanken Grotesk"/>
          <w:b/>
          <w:bCs/>
          <w:color w:val="052B57"/>
          <w:sz w:val="19"/>
          <w:szCs w:val="19"/>
        </w:rPr>
        <w:t xml:space="preserve">Premium         </w:t>
      </w:r>
      <w:r>
        <w:rPr>
          <w:color w:val="00AFCB"/>
          <w:sz w:val="19"/>
          <w:szCs w:val="19"/>
        </w:rPr>
        <w:t xml:space="preserve">  ████████████████</w:t>
      </w:r>
      <w:r>
        <w:rPr>
          <w:color w:val="D5E2EC"/>
          <w:sz w:val="19"/>
          <w:szCs w:val="19"/>
        </w:rPr>
        <w:t xml:space="preserve">░░░░</w:t>
      </w:r>
      <w:r>
        <w:rPr>
          <w:rFonts w:ascii="Hanken Grotesk" w:cs="Hanken Grotesk" w:eastAsia="Hanken Grotesk" w:hAnsi="Hanken Grotesk"/>
          <w:color w:val="5B6770"/>
          <w:sz w:val="18"/>
          <w:szCs w:val="18"/>
        </w:rPr>
        <w:t xml:space="preserve">  78%</w:t>
      </w:r>
    </w:p>
    <w:p>
      <w:pPr>
        <w:spacing w:after="60"/>
      </w:pPr>
      <w:r>
        <w:rPr>
          <w:rFonts w:ascii="Hanken Grotesk" w:cs="Hanken Grotesk" w:eastAsia="Hanken Grotesk" w:hAnsi="Hanken Grotesk"/>
          <w:b/>
          <w:bCs/>
          <w:color w:val="052B57"/>
          <w:sz w:val="19"/>
          <w:szCs w:val="19"/>
        </w:rPr>
        <w:t xml:space="preserve">Aspiracional    </w:t>
      </w:r>
      <w:r>
        <w:rPr>
          <w:color w:val="00AFCB"/>
          <w:sz w:val="19"/>
          <w:szCs w:val="19"/>
        </w:rPr>
        <w:t xml:space="preserve">  ███████████████</w:t>
      </w:r>
      <w:r>
        <w:rPr>
          <w:color w:val="D5E2EC"/>
          <w:sz w:val="19"/>
          <w:szCs w:val="19"/>
        </w:rPr>
        <w:t xml:space="preserve">░░░░░</w:t>
      </w:r>
      <w:r>
        <w:rPr>
          <w:rFonts w:ascii="Hanken Grotesk" w:cs="Hanken Grotesk" w:eastAsia="Hanken Grotesk" w:hAnsi="Hanken Grotesk"/>
          <w:color w:val="5B6770"/>
          <w:sz w:val="18"/>
          <w:szCs w:val="18"/>
        </w:rPr>
        <w:t xml:space="preserve">  74%</w:t>
      </w:r>
    </w:p>
    <w:p>
      <w:pPr>
        <w:spacing w:after="60"/>
      </w:pPr>
      <w:r>
        <w:rPr>
          <w:rFonts w:ascii="Hanken Grotesk" w:cs="Hanken Grotesk" w:eastAsia="Hanken Grotesk" w:hAnsi="Hanken Grotesk"/>
          <w:b/>
          <w:bCs/>
          <w:color w:val="052B57"/>
          <w:sz w:val="19"/>
          <w:szCs w:val="19"/>
        </w:rPr>
        <w:t xml:space="preserve">Humana          </w:t>
      </w:r>
      <w:r>
        <w:rPr>
          <w:color w:val="00AFCB"/>
          <w:sz w:val="19"/>
          <w:szCs w:val="19"/>
        </w:rPr>
        <w:t xml:space="preserve">  ██████████████</w:t>
      </w:r>
      <w:r>
        <w:rPr>
          <w:color w:val="D5E2EC"/>
          <w:sz w:val="19"/>
          <w:szCs w:val="19"/>
        </w:rPr>
        <w:t xml:space="preserve">░░░░░░</w:t>
      </w:r>
      <w:r>
        <w:rPr>
          <w:rFonts w:ascii="Hanken Grotesk" w:cs="Hanken Grotesk" w:eastAsia="Hanken Grotesk" w:hAnsi="Hanken Grotesk"/>
          <w:color w:val="5B6770"/>
          <w:sz w:val="18"/>
          <w:szCs w:val="18"/>
        </w:rPr>
        <w:t xml:space="preserve">  68%</w:t>
      </w:r>
    </w:p>
    <w:p>
      <w:pPr>
        <w:spacing w:after="60"/>
      </w:pPr>
      <w:r>
        <w:rPr>
          <w:rFonts w:ascii="Hanken Grotesk" w:cs="Hanken Grotesk" w:eastAsia="Hanken Grotesk" w:hAnsi="Hanken Grotesk"/>
          <w:b/>
          <w:bCs/>
          <w:color w:val="052B57"/>
          <w:sz w:val="19"/>
          <w:szCs w:val="19"/>
        </w:rPr>
        <w:t xml:space="preserve">Técnica/maker   </w:t>
      </w:r>
      <w:r>
        <w:rPr>
          <w:color w:val="00AFCB"/>
          <w:sz w:val="19"/>
          <w:szCs w:val="19"/>
        </w:rPr>
        <w:t xml:space="preserve">  ██████████████</w:t>
      </w:r>
      <w:r>
        <w:rPr>
          <w:color w:val="D5E2EC"/>
          <w:sz w:val="19"/>
          <w:szCs w:val="19"/>
        </w:rPr>
        <w:t xml:space="preserve">░░░░░░</w:t>
      </w:r>
      <w:r>
        <w:rPr>
          <w:rFonts w:ascii="Hanken Grotesk" w:cs="Hanken Grotesk" w:eastAsia="Hanken Grotesk" w:hAnsi="Hanken Grotesk"/>
          <w:color w:val="5B6770"/>
          <w:sz w:val="18"/>
          <w:szCs w:val="18"/>
        </w:rPr>
        <w:t xml:space="preserve">  72%</w:t>
      </w:r>
    </w:p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A5E9C"/>
          <w:spacing w:val="30"/>
          <w:sz w:val="17"/>
          <w:szCs w:val="17"/>
        </w:rPr>
        <w:t xml:space="preserve">04 · SISTEMA VISUAL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40"/>
          <w:szCs w:val="40"/>
        </w:rPr>
        <w:t xml:space="preserve">Logo e símbolo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O logo combina monograma, trajetória e wordmark. A assinatura completa é a versão primária para materiais institucionais e digitais.</w:t>
      </w:r>
    </w:p>
    <w:p>
      <w:pPr>
        <w:pBdr>
          <w:top w:val="single" w:color="00AFCB" w:sz="4" w:space="10"/>
        </w:pBdr>
        <w:spacing w:after="0" w:before="16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0"/>
        <w:jc w:val="center"/>
      </w:pPr>
      <w:r>
        <w:drawing>
          <wp:inline distT="0" distB="0" distL="0" distR="0">
            <wp:extent cx="4191000" cy="1733550"/>
            <wp:effectExtent t="0" r="0" b="0" l="0"/>
            <wp:docPr id="1" name="AZLO" descr="Logo AZLO assinatura completa" title="AZ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5E2EC" w:sz="4" w:space="10"/>
        </w:pBdr>
        <w:spacing w:after="200" w:before="140"/>
      </w:pPr>
      <w:r>
        <w:t xml:space="preserve"/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67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2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19"/>
                <w:szCs w:val="19"/>
              </w:rPr>
              <w:t xml:space="preserve">Monograma A/Z</w:t>
            </w:r>
          </w:p>
        </w:tc>
        <w:tc>
          <w:tcPr>
            <w:tcW w:type="dxa" w:w="67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Integra origem e ápice. O A é estrutura de ascensão; o Z indica transição e fechamento de ciclo.</w:t>
            </w:r>
          </w:p>
        </w:tc>
      </w:tr>
      <w:tr>
        <w:tc>
          <w:tcPr>
            <w:tcW w:type="dxa" w:w="2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19"/>
                <w:szCs w:val="19"/>
              </w:rPr>
              <w:t xml:space="preserve">Arco ciano</w:t>
            </w:r>
          </w:p>
        </w:tc>
        <w:tc>
          <w:tcPr>
            <w:tcW w:type="dxa" w:w="67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Trajetória, horizonte, órbita, progresso e ajuste contínuo.</w:t>
            </w:r>
          </w:p>
        </w:tc>
      </w:tr>
      <w:tr>
        <w:tc>
          <w:tcPr>
            <w:tcW w:type="dxa" w:w="2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19"/>
                <w:szCs w:val="19"/>
              </w:rPr>
              <w:t xml:space="preserve">Estrela-guia</w:t>
            </w:r>
          </w:p>
        </w:tc>
        <w:tc>
          <w:tcPr>
            <w:tcW w:type="dxa" w:w="67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Direção, foco, norte estratégico e zênite.</w:t>
            </w:r>
          </w:p>
        </w:tc>
      </w:tr>
      <w:tr>
        <w:tc>
          <w:tcPr>
            <w:tcW w:type="dxa" w:w="2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19"/>
                <w:szCs w:val="19"/>
              </w:rPr>
              <w:t xml:space="preserve">Base em Z</w:t>
            </w:r>
          </w:p>
        </w:tc>
        <w:tc>
          <w:tcPr>
            <w:tcW w:type="dxa" w:w="67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Caminho estruturado do início ao ápice.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6"/>
          <w:szCs w:val="26"/>
        </w:rPr>
        <w:t xml:space="preserve">Versões e usos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Versão</w:t>
            </w:r>
          </w:p>
        </w:tc>
        <w:tc>
          <w:tcPr>
            <w:tcW w:type="dxa" w:w="5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Quando usar</w:t>
            </w:r>
          </w:p>
        </w:tc>
        <w:tc>
          <w:tcPr>
            <w:tcW w:type="dxa" w:w="1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Tamanho mínimo</w:t>
            </w:r>
          </w:p>
        </w:tc>
      </w:tr>
      <w:tr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Assinatura completa</w:t>
            </w:r>
          </w:p>
        </w:tc>
        <w:tc>
          <w:tcPr>
            <w:tcW w:type="dxa" w:w="5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Site, capa, apresentações, documentos institucionais.</w:t>
            </w:r>
          </w:p>
        </w:tc>
        <w:tc>
          <w:tcPr>
            <w:tcW w:type="dxa" w:w="1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220 px / 45 mm</w:t>
            </w:r>
          </w:p>
        </w:tc>
      </w:tr>
      <w:tr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Wordmark AZLO</w:t>
            </w:r>
          </w:p>
        </w:tc>
        <w:tc>
          <w:tcPr>
            <w:tcW w:type="dxa" w:w="5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Quando o símbolo já aparece no layout, ou espaços horizontais.</w:t>
            </w:r>
          </w:p>
        </w:tc>
        <w:tc>
          <w:tcPr>
            <w:tcW w:type="dxa" w:w="1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96 px</w:t>
            </w:r>
          </w:p>
        </w:tc>
      </w:tr>
      <w:tr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Símbolo isolado</w:t>
            </w:r>
          </w:p>
        </w:tc>
        <w:tc>
          <w:tcPr>
            <w:tcW w:type="dxa" w:w="5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Avatar, favicon, app icon, selo, marca d’água.</w:t>
            </w:r>
          </w:p>
        </w:tc>
        <w:tc>
          <w:tcPr>
            <w:tcW w:type="dxa" w:w="1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32 px / 10 mm</w:t>
            </w:r>
          </w:p>
        </w:tc>
      </w:tr>
      <w:tr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Monocromática</w:t>
            </w:r>
          </w:p>
        </w:tc>
        <w:tc>
          <w:tcPr>
            <w:tcW w:type="dxa" w:w="5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Gravação, bordado, P&amp;B, carimbos, fundos complexos.</w:t>
            </w:r>
          </w:p>
        </w:tc>
        <w:tc>
          <w:tcPr>
            <w:tcW w:type="dxa" w:w="18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00AFCB" w:sz="4" w:space="10"/>
        </w:pBdr>
        <w:spacing w:after="0" w:before="160"/>
      </w:pPr>
      <w:r>
        <w:t xml:space="preserve"/>
      </w:r>
    </w:p>
    <w:p>
      <w:pPr>
        <w:spacing w:after="100" w:before="140"/>
        <w:ind w:left="260"/>
      </w:pPr>
      <w:r>
        <w:rPr>
          <w:rFonts w:ascii="Fraunces" w:cs="Fraunces" w:eastAsia="Fraunces" w:hAnsi="Fraunces"/>
          <w:b/>
          <w:bCs/>
          <w:color w:val="052B57"/>
          <w:sz w:val="20"/>
          <w:szCs w:val="20"/>
        </w:rPr>
        <w:t xml:space="preserve">Regra prática</w:t>
      </w:r>
    </w:p>
    <w:p>
      <w:pPr>
        <w:spacing w:after="0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Se a tagline ficar ilegível, use apenas 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AZLO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 ou o símbolo. Nunca force reduções que transformem a assinatura em textura. 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Clearspace mínimo = altura da letra A do wordmark.</w:t>
      </w:r>
    </w:p>
    <w:p>
      <w:pPr>
        <w:pBdr>
          <w:bottom w:val="single" w:color="D5E2EC" w:sz="4" w:space="10"/>
        </w:pBdr>
        <w:spacing w:after="200" w:before="140"/>
      </w:pPr>
      <w:r>
        <w:t xml:space="preserve"/>
      </w:r>
    </w:p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A5E9C"/>
          <w:spacing w:val="30"/>
          <w:sz w:val="17"/>
          <w:szCs w:val="17"/>
        </w:rPr>
        <w:t xml:space="preserve">04 · SISTEMA VISUAL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40"/>
          <w:szCs w:val="40"/>
        </w:rPr>
        <w:t xml:space="preserve">Anatomia simbólica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O símbolo é um sistema visual, não ornamento. Cada elemento carrega significado estratégico.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80"/>
              <w:bottom w:type="dxa" w:w="80"/>
              <w:right w:type="dxa" w:w="2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190750" cy="2400300"/>
                  <wp:effectExtent t="0" r="0" b="0" l="0"/>
                  <wp:docPr id="1" name="AZLO símbolo" descr="Monograma A/Z AZLO" title="AZLO símbol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>
              <w:top w:val="none"/>
              <w:left w:val="single" w:color="D5E2EC" w:sz="6"/>
              <w:bottom w:val="none"/>
              <w:right w:val="none"/>
            </w:tcBorders>
            <w:tcMar>
              <w:top w:type="dxa" w:w="80"/>
              <w:left w:type="dxa" w:w="260"/>
              <w:bottom w:type="dxa" w:w="8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Fraunces" w:cs="Fraunces" w:eastAsia="Fraunces" w:hAnsi="Fraunces"/>
                <w:b/>
                <w:bCs/>
                <w:color w:val="052B57"/>
                <w:sz w:val="21"/>
                <w:szCs w:val="21"/>
              </w:rPr>
              <w:t xml:space="preserve">Ápice / Zenith</w:t>
            </w:r>
          </w:p>
          <w:p>
            <w:pPr>
              <w:spacing w:after="140"/>
            </w:pPr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Ponto de máxima direção e ambição.</w:t>
            </w:r>
          </w:p>
          <w:p>
            <w:pPr>
              <w:spacing w:after="40"/>
            </w:pPr>
            <w:r>
              <w:rPr>
                <w:rFonts w:ascii="Fraunces" w:cs="Fraunces" w:eastAsia="Fraunces" w:hAnsi="Fraunces"/>
                <w:b/>
                <w:bCs/>
                <w:color w:val="052B57"/>
                <w:sz w:val="21"/>
                <w:szCs w:val="21"/>
              </w:rPr>
              <w:t xml:space="preserve">Estrela interna</w:t>
            </w:r>
          </w:p>
          <w:p>
            <w:pPr>
              <w:spacing w:after="140"/>
            </w:pPr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Norte, foco e calibragem.</w:t>
            </w:r>
          </w:p>
          <w:p>
            <w:pPr>
              <w:spacing w:after="40"/>
            </w:pPr>
            <w:r>
              <w:rPr>
                <w:rFonts w:ascii="Fraunces" w:cs="Fraunces" w:eastAsia="Fraunces" w:hAnsi="Fraunces"/>
                <w:b/>
                <w:bCs/>
                <w:color w:val="052B57"/>
                <w:sz w:val="21"/>
                <w:szCs w:val="21"/>
              </w:rPr>
              <w:t xml:space="preserve">Curva de trajetória</w:t>
            </w:r>
          </w:p>
          <w:p>
            <w:pPr>
              <w:spacing w:after="140"/>
            </w:pPr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Progresso, horizonte e continuidade.</w:t>
            </w:r>
          </w:p>
          <w:p>
            <w:pPr>
              <w:spacing w:after="40"/>
            </w:pPr>
            <w:r>
              <w:rPr>
                <w:rFonts w:ascii="Fraunces" w:cs="Fraunces" w:eastAsia="Fraunces" w:hAnsi="Fraunces"/>
                <w:b/>
                <w:bCs/>
                <w:color w:val="052B57"/>
                <w:sz w:val="21"/>
                <w:szCs w:val="21"/>
              </w:rPr>
              <w:t xml:space="preserve">Base em Z</w:t>
            </w:r>
          </w:p>
          <w:p>
            <w:pPr>
              <w:spacing w:after="0"/>
            </w:pPr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Caminho estruturado do início ao ápice.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A5E9C"/>
          <w:spacing w:val="30"/>
          <w:sz w:val="17"/>
          <w:szCs w:val="17"/>
        </w:rPr>
        <w:t xml:space="preserve">04 · SISTEMA VISUAL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40"/>
          <w:szCs w:val="40"/>
        </w:rPr>
        <w:t xml:space="preserve">Usos incorretos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A marca deve preservar proporção, contraste, legibilidade e sobriedade.</w:t>
      </w:r>
    </w:p>
    <w:p>
      <w:pPr>
        <w:spacing w:after="20" w:before="50"/>
      </w:pPr>
      <w:r>
        <w:rPr>
          <w:b/>
          <w:bCs/>
          <w:color w:val="C0392B"/>
          <w:sz w:val="21"/>
          <w:szCs w:val="21"/>
        </w:rPr>
        <w:t xml:space="preserve">✕  </w:t>
      </w:r>
      <w:r>
        <w:rPr>
          <w:rFonts w:ascii="Fraunces" w:cs="Fraunces" w:eastAsia="Fraunces" w:hAnsi="Fraunces"/>
          <w:b/>
          <w:bCs/>
          <w:color w:val="052B57"/>
          <w:sz w:val="21"/>
          <w:szCs w:val="21"/>
        </w:rPr>
        <w:t xml:space="preserve">Não distorcer</w:t>
      </w:r>
    </w:p>
    <w:p>
      <w:pPr>
        <w:spacing w:after="40"/>
        <w:ind w:left="420"/>
      </w:pP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Nunca comprimir, esticar ou alterar proporções do símbolo e do wordmark.</w:t>
      </w:r>
    </w:p>
    <w:p>
      <w:pPr>
        <w:spacing w:after="20" w:before="50"/>
      </w:pPr>
      <w:r>
        <w:rPr>
          <w:b/>
          <w:bCs/>
          <w:color w:val="C0392B"/>
          <w:sz w:val="21"/>
          <w:szCs w:val="21"/>
        </w:rPr>
        <w:t xml:space="preserve">✕  </w:t>
      </w:r>
      <w:r>
        <w:rPr>
          <w:rFonts w:ascii="Fraunces" w:cs="Fraunces" w:eastAsia="Fraunces" w:hAnsi="Fraunces"/>
          <w:b/>
          <w:bCs/>
          <w:color w:val="052B57"/>
          <w:sz w:val="21"/>
          <w:szCs w:val="21"/>
        </w:rPr>
        <w:t xml:space="preserve">Não trocar cores</w:t>
      </w:r>
    </w:p>
    <w:p>
      <w:pPr>
        <w:spacing w:after="40"/>
        <w:ind w:left="420"/>
      </w:pP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Evitar vermelho, laranja ou paletas que diluam o território premium-científico.</w:t>
      </w:r>
    </w:p>
    <w:p>
      <w:pPr>
        <w:spacing w:after="20" w:before="50"/>
      </w:pPr>
      <w:r>
        <w:rPr>
          <w:b/>
          <w:bCs/>
          <w:color w:val="C0392B"/>
          <w:sz w:val="21"/>
          <w:szCs w:val="21"/>
        </w:rPr>
        <w:t xml:space="preserve">✕  </w:t>
      </w:r>
      <w:r>
        <w:rPr>
          <w:rFonts w:ascii="Fraunces" w:cs="Fraunces" w:eastAsia="Fraunces" w:hAnsi="Fraunces"/>
          <w:b/>
          <w:bCs/>
          <w:color w:val="052B57"/>
          <w:sz w:val="21"/>
          <w:szCs w:val="21"/>
        </w:rPr>
        <w:t xml:space="preserve">Não aplicar sombra pesada</w:t>
      </w:r>
    </w:p>
    <w:p>
      <w:pPr>
        <w:spacing w:after="40"/>
        <w:ind w:left="420"/>
      </w:pP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Efeitos 3D, bevel e glow excessivo reduzem sofisticação.</w:t>
      </w:r>
    </w:p>
    <w:p>
      <w:pPr>
        <w:spacing w:after="20" w:before="50"/>
      </w:pPr>
      <w:r>
        <w:rPr>
          <w:b/>
          <w:bCs/>
          <w:color w:val="C0392B"/>
          <w:sz w:val="21"/>
          <w:szCs w:val="21"/>
        </w:rPr>
        <w:t xml:space="preserve">✕  </w:t>
      </w:r>
      <w:r>
        <w:rPr>
          <w:rFonts w:ascii="Fraunces" w:cs="Fraunces" w:eastAsia="Fraunces" w:hAnsi="Fraunces"/>
          <w:b/>
          <w:bCs/>
          <w:color w:val="052B57"/>
          <w:sz w:val="21"/>
          <w:szCs w:val="21"/>
        </w:rPr>
        <w:t xml:space="preserve">Não usar em fundo poluído</w:t>
      </w:r>
    </w:p>
    <w:p>
      <w:pPr>
        <w:spacing w:after="40"/>
        <w:ind w:left="420"/>
      </w:pP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Se o fundo competir, aplique área neutra ou versão monocromática.</w:t>
      </w:r>
    </w:p>
    <w:p>
      <w:pPr>
        <w:spacing w:after="20" w:before="50"/>
      </w:pPr>
      <w:r>
        <w:rPr>
          <w:b/>
          <w:bCs/>
          <w:color w:val="C0392B"/>
          <w:sz w:val="21"/>
          <w:szCs w:val="21"/>
        </w:rPr>
        <w:t xml:space="preserve">✕  </w:t>
      </w:r>
      <w:r>
        <w:rPr>
          <w:rFonts w:ascii="Fraunces" w:cs="Fraunces" w:eastAsia="Fraunces" w:hAnsi="Fraunces"/>
          <w:b/>
          <w:bCs/>
          <w:color w:val="052B57"/>
          <w:sz w:val="21"/>
          <w:szCs w:val="21"/>
        </w:rPr>
        <w:t xml:space="preserve">Não reposicionar elementos</w:t>
      </w:r>
    </w:p>
    <w:p>
      <w:pPr>
        <w:spacing w:after="40"/>
        <w:ind w:left="420"/>
      </w:pP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Não separar a estrela, mover a curva ou alterar a relação símbolo-wordmark.</w:t>
      </w:r>
    </w:p>
    <w:p>
      <w:pPr>
        <w:spacing w:after="20" w:before="50"/>
      </w:pPr>
      <w:r>
        <w:rPr>
          <w:b/>
          <w:bCs/>
          <w:color w:val="C0392B"/>
          <w:sz w:val="21"/>
          <w:szCs w:val="21"/>
        </w:rPr>
        <w:t xml:space="preserve">✕  </w:t>
      </w:r>
      <w:r>
        <w:rPr>
          <w:rFonts w:ascii="Fraunces" w:cs="Fraunces" w:eastAsia="Fraunces" w:hAnsi="Fraunces"/>
          <w:b/>
          <w:bCs/>
          <w:color w:val="052B57"/>
          <w:sz w:val="21"/>
          <w:szCs w:val="21"/>
        </w:rPr>
        <w:t xml:space="preserve">Não exagerar na tagline</w:t>
      </w:r>
    </w:p>
    <w:p>
      <w:pPr>
        <w:spacing w:after="40"/>
        <w:ind w:left="420"/>
      </w:pP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A linha Alpha Zenith Life Optimization sai em tamanhos pequenos.</w:t>
      </w:r>
    </w:p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A5E9C"/>
          <w:spacing w:val="30"/>
          <w:sz w:val="17"/>
          <w:szCs w:val="17"/>
        </w:rPr>
        <w:t xml:space="preserve">04 · SISTEMA VISUAL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40"/>
          <w:szCs w:val="40"/>
        </w:rPr>
        <w:t xml:space="preserve">Paleta cromática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Ciência, profundidade, clareza e vitalidade. Azul estrutura; ciano ativa; branco respira.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20"/>
                <w:szCs w:val="20"/>
              </w:rPr>
              <w:t xml:space="preserve">Deep Navy</w:t>
            </w:r>
          </w:p>
          <w:p>
            <w:r>
              <w:rPr>
                <w:rFonts w:ascii="Hanken Grotesk" w:cs="Hanken Grotesk" w:eastAsia="Hanken Grotesk" w:hAnsi="Hanken Grotesk"/>
                <w:color w:val="5B6770"/>
                <w:sz w:val="17"/>
                <w:szCs w:val="17"/>
              </w:rPr>
              <w:t xml:space="preserve">#052B57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Cor primária. Autoridade, ciência e confiança.</w:t>
            </w:r>
          </w:p>
        </w:tc>
      </w:tr>
      <w:tr>
        <w:tc>
          <w:tcPr>
            <w:tcW w:type="dxa" w:w="1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A5E9C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20"/>
                <w:szCs w:val="20"/>
              </w:rPr>
              <w:t xml:space="preserve">Zenith Blue</w:t>
            </w:r>
          </w:p>
          <w:p>
            <w:r>
              <w:rPr>
                <w:rFonts w:ascii="Hanken Grotesk" w:cs="Hanken Grotesk" w:eastAsia="Hanken Grotesk" w:hAnsi="Hanken Grotesk"/>
                <w:color w:val="5B6770"/>
                <w:sz w:val="17"/>
                <w:szCs w:val="17"/>
              </w:rPr>
              <w:t xml:space="preserve">#0A5E9C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Suporte: fundos, gráficos, navegação.</w:t>
            </w:r>
          </w:p>
        </w:tc>
      </w:tr>
      <w:tr>
        <w:tc>
          <w:tcPr>
            <w:tcW w:type="dxa" w:w="1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0AFCB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20"/>
                <w:szCs w:val="20"/>
              </w:rPr>
              <w:t xml:space="preserve">Arc Teal</w:t>
            </w:r>
          </w:p>
          <w:p>
            <w:r>
              <w:rPr>
                <w:rFonts w:ascii="Hanken Grotesk" w:cs="Hanken Grotesk" w:eastAsia="Hanken Grotesk" w:hAnsi="Hanken Grotesk"/>
                <w:color w:val="5B6770"/>
                <w:sz w:val="17"/>
                <w:szCs w:val="17"/>
              </w:rPr>
              <w:t xml:space="preserve">#00AFCB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Acentos, CTAs, highlights, progresso.</w:t>
            </w:r>
          </w:p>
        </w:tc>
      </w:tr>
      <w:tr>
        <w:tc>
          <w:tcPr>
            <w:tcW w:type="dxa" w:w="1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35D3E6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20"/>
                <w:szCs w:val="20"/>
              </w:rPr>
              <w:t xml:space="preserve">Vital Cyan</w:t>
            </w:r>
          </w:p>
          <w:p>
            <w:r>
              <w:rPr>
                <w:rFonts w:ascii="Hanken Grotesk" w:cs="Hanken Grotesk" w:eastAsia="Hanken Grotesk" w:hAnsi="Hanken Grotesk"/>
                <w:color w:val="5B6770"/>
                <w:sz w:val="17"/>
                <w:szCs w:val="17"/>
              </w:rPr>
              <w:t xml:space="preserve">#35D3E6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Microinterações, brilho sutil, estados ativos.</w:t>
            </w:r>
          </w:p>
        </w:tc>
      </w:tr>
      <w:tr>
        <w:tc>
          <w:tcPr>
            <w:tcW w:type="dxa" w:w="1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20"/>
                <w:szCs w:val="20"/>
              </w:rPr>
              <w:t xml:space="preserve">Ice White</w:t>
            </w:r>
          </w:p>
          <w:p>
            <w:r>
              <w:rPr>
                <w:rFonts w:ascii="Hanken Grotesk" w:cs="Hanken Grotesk" w:eastAsia="Hanken Grotesk" w:hAnsi="Hanken Grotesk"/>
                <w:color w:val="5B6770"/>
                <w:sz w:val="17"/>
                <w:szCs w:val="17"/>
              </w:rPr>
              <w:t xml:space="preserve">#F2FAFC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Fundos secundários e cards.</w:t>
            </w:r>
          </w:p>
        </w:tc>
      </w:tr>
      <w:tr>
        <w:tc>
          <w:tcPr>
            <w:tcW w:type="dxa" w:w="1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111827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24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20"/>
                <w:szCs w:val="20"/>
              </w:rPr>
              <w:t xml:space="preserve">Graphite</w:t>
            </w:r>
          </w:p>
          <w:p>
            <w:r>
              <w:rPr>
                <w:rFonts w:ascii="Hanken Grotesk" w:cs="Hanken Grotesk" w:eastAsia="Hanken Grotesk" w:hAnsi="Hanken Grotesk"/>
                <w:color w:val="5B6770"/>
                <w:sz w:val="17"/>
                <w:szCs w:val="17"/>
              </w:rPr>
              <w:t xml:space="preserve">#111827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Texto principal em contexto editorial.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top w:val="single" w:color="0A5E9C" w:sz="4" w:space="10"/>
        </w:pBdr>
        <w:spacing w:after="0" w:before="160"/>
      </w:pPr>
      <w:r>
        <w:t xml:space="preserve"/>
      </w:r>
    </w:p>
    <w:p>
      <w:pPr>
        <w:spacing w:after="100" w:before="140"/>
        <w:ind w:left="260"/>
      </w:pPr>
      <w:r>
        <w:rPr>
          <w:rFonts w:ascii="Fraunces" w:cs="Fraunces" w:eastAsia="Fraunces" w:hAnsi="Fraunces"/>
          <w:b/>
          <w:bCs/>
          <w:color w:val="052B57"/>
          <w:sz w:val="20"/>
          <w:szCs w:val="20"/>
        </w:rPr>
        <w:t xml:space="preserve">Regra 70/20/10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70% 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neutros e azul profundo — base, confiança, leitura, autoridade.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20% 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azul médio e tons de suporte — estrutura, gráficos, áreas de informação.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10% 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teal/ciano — acentos, chamadas, indicadores, progresso e energia.</w:t>
      </w:r>
    </w:p>
    <w:p>
      <w:pPr>
        <w:spacing w:after="0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O ciano é 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sinal, não preenchimento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. Quando tudo brilha, nada orienta.</w:t>
      </w:r>
    </w:p>
    <w:p>
      <w:pPr>
        <w:pBdr>
          <w:bottom w:val="single" w:color="D5E2EC" w:sz="4" w:space="10"/>
        </w:pBdr>
        <w:spacing w:after="200" w:before="140"/>
      </w:pPr>
      <w:r>
        <w:t xml:space="preserve"/>
      </w:r>
    </w:p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A5E9C"/>
          <w:spacing w:val="30"/>
          <w:sz w:val="17"/>
          <w:szCs w:val="17"/>
        </w:rPr>
        <w:t xml:space="preserve">04 · SISTEMA VISUAL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40"/>
          <w:szCs w:val="40"/>
        </w:rPr>
        <w:t xml:space="preserve">Tipografia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Geométrica, limpa e altamente legível. Tom técnico-premium, nunca decorativo.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4160"/>
      </w:tblGrid>
      <w:tr>
        <w:trPr>
          <w:tblHeader/>
        </w:trP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Função</w:t>
            </w:r>
          </w:p>
        </w:tc>
        <w:tc>
          <w:tcPr>
            <w:tcW w:type="dxa" w:w="2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Família</w:t>
            </w:r>
          </w:p>
        </w:tc>
        <w:tc>
          <w:tcPr>
            <w:tcW w:type="dxa" w:w="4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18"/>
                <w:szCs w:val="18"/>
              </w:rPr>
              <w:t xml:space="preserve">Display / títulos</w:t>
            </w:r>
          </w:p>
        </w:tc>
        <w:tc>
          <w:tcPr>
            <w:tcW w:type="dxa" w:w="2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Space Grotesk · Sora</w:t>
            </w:r>
          </w:p>
        </w:tc>
        <w:tc>
          <w:tcPr>
            <w:tcW w:type="dxa" w:w="4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Títulos, hero, números, chamadas, interface. Geométrica e presente.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18"/>
                <w:szCs w:val="18"/>
              </w:rPr>
              <w:t xml:space="preserve">Texto / corpo</w:t>
            </w:r>
          </w:p>
        </w:tc>
        <w:tc>
          <w:tcPr>
            <w:tcW w:type="dxa" w:w="2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Inter · IBM Plex Sans</w:t>
            </w:r>
          </w:p>
        </w:tc>
        <w:tc>
          <w:tcPr>
            <w:tcW w:type="dxa" w:w="41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Textos longos, dashboards, documentos, protocolos, conteúdo.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6"/>
          <w:szCs w:val="26"/>
        </w:rPr>
        <w:t xml:space="preserve">Hierarquia sugerida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900"/>
        <w:gridCol w:w="3660"/>
      </w:tblGrid>
      <w:tr>
        <w:trPr>
          <w:tblHeader/>
        </w:trPr>
        <w:tc>
          <w:tcPr>
            <w:tcW w:type="dxa" w:w="1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  <w:tc>
          <w:tcPr>
            <w:tcW w:type="dxa" w:w="3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c>
          <w:tcPr>
            <w:tcW w:type="dxa" w:w="1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H1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48–64 px</w:t>
            </w:r>
          </w:p>
        </w:tc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600–700</w:t>
            </w:r>
          </w:p>
        </w:tc>
        <w:tc>
          <w:tcPr>
            <w:tcW w:type="dxa" w:w="3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Tracking levemente negativo</w:t>
            </w:r>
          </w:p>
        </w:tc>
      </w:tr>
      <w:tr>
        <w:tc>
          <w:tcPr>
            <w:tcW w:type="dxa" w:w="1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H2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28–36 px</w:t>
            </w:r>
          </w:p>
        </w:tc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600</w:t>
            </w:r>
          </w:p>
        </w:tc>
        <w:tc>
          <w:tcPr>
            <w:tcW w:type="dxa" w:w="3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Corpo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16–18 px</w:t>
            </w:r>
          </w:p>
        </w:tc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400</w:t>
            </w:r>
          </w:p>
        </w:tc>
        <w:tc>
          <w:tcPr>
            <w:tcW w:type="dxa" w:w="3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Line-height 145–160%</w:t>
            </w:r>
          </w:p>
        </w:tc>
      </w:tr>
      <w:tr>
        <w:tc>
          <w:tcPr>
            <w:tcW w:type="dxa" w:w="16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Legendas</w:t>
            </w:r>
          </w:p>
        </w:tc>
        <w:tc>
          <w:tcPr>
            <w:tcW w:type="dxa" w:w="22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11–13 px</w:t>
            </w:r>
          </w:p>
        </w:tc>
        <w:tc>
          <w:tcPr>
            <w:tcW w:type="dxa" w:w="19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500</w:t>
            </w:r>
          </w:p>
        </w:tc>
        <w:tc>
          <w:tcPr>
            <w:tcW w:type="dxa" w:w="36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Uppercase moderado, tracking positivo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A5E9C"/>
          <w:spacing w:val="30"/>
          <w:sz w:val="17"/>
          <w:szCs w:val="17"/>
        </w:rPr>
        <w:t xml:space="preserve">04 · SISTEMA VISUAL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40"/>
          <w:szCs w:val="40"/>
        </w:rPr>
        <w:t xml:space="preserve">Iconografia e imagens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Ícones e fotos devem parecer parte do mesmo sistema: linhas, ângulos, arcos e precisão geométrica.</w:t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6"/>
          <w:szCs w:val="26"/>
        </w:rPr>
        <w:t xml:space="preserve">Iconografia</w:t>
      </w:r>
    </w:p>
    <w:p>
      <w:pPr>
        <w:spacing w:after="120"/>
      </w:pPr>
      <w:r>
        <w:rPr>
          <w:rFonts w:ascii="Hanken Grotesk" w:cs="Hanken Grotesk" w:eastAsia="Hanken Grotesk" w:hAnsi="Hanken Grotesk"/>
          <w:color w:val="111827"/>
          <w:sz w:val="21"/>
          <w:szCs w:val="21"/>
        </w:rPr>
        <w:t xml:space="preserve">Stroke de 2–3 px, cantos levemente arredondados, ângulos de 45°, arcos orbitais e poucos detalhes internos. Evitar ilustrações cartunizadas, ícones multicoloridos e pictogramas genéricos de academia.</w:t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6"/>
          <w:szCs w:val="26"/>
        </w:rPr>
        <w:t xml:space="preserve">Direção de imagens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2FAFC" w:sz="1"/>
              <w:left w:val="single" w:color="00AFCB" w:sz="18"/>
              <w:bottom w:val="single" w:color="F2FAFC" w:sz="1"/>
              <w:right w:val="single" w:color="F2FAFC" w:sz="1"/>
            </w:tcBorders>
            <w:shd w:fill="F2FAFC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80"/>
            </w:pPr>
            <w:r>
              <w:rPr>
                <w:rFonts w:ascii="Fraunces" w:cs="Fraunces" w:eastAsia="Fraunces" w:hAnsi="Fraunces"/>
                <w:b/>
                <w:bCs/>
                <w:color w:val="052B57"/>
                <w:sz w:val="20"/>
                <w:szCs w:val="20"/>
              </w:rPr>
              <w:t xml:space="preserve">Usar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Ambientes limpos, luz natural/fria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Close-ups técnicos, dashboards, dados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Consultas, laboratórios, treino sóbrio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Natureza minimalista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Telas de código e fluxos (para Labs)</w:t>
            </w:r>
          </w:p>
        </w:tc>
        <w:tc>
          <w:tcPr>
            <w:tcW w:type="dxa" w:w="4680"/>
            <w:tcBorders>
              <w:top w:val="single" w:color="FBEEEC" w:sz="1"/>
              <w:left w:val="single" w:color="C0392B" w:sz="18"/>
              <w:bottom w:val="single" w:color="FBEEEC" w:sz="1"/>
              <w:right w:val="single" w:color="FBEEEC" w:sz="1"/>
            </w:tcBorders>
            <w:shd w:fill="FBEEEC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80"/>
            </w:pPr>
            <w:r>
              <w:rPr>
                <w:rFonts w:ascii="Fraunces" w:cs="Fraunces" w:eastAsia="Fraunces" w:hAnsi="Fraunces"/>
                <w:b/>
                <w:bCs/>
                <w:color w:val="052B57"/>
                <w:sz w:val="20"/>
                <w:szCs w:val="20"/>
              </w:rPr>
              <w:t xml:space="preserve">Evitar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Stock excessivamente feliz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Estética de coach, corpos irreais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Neon agressivo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Antes/depois sensacionalista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Mockups de IA genéricos e robôs clichê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Tratamento: 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contraste moderado, brancos limpos, azul profundo em overlays, acento ciano para foco e indicadores.</w:t>
      </w:r>
    </w:p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0AFCB"/>
          <w:spacing w:val="30"/>
          <w:sz w:val="17"/>
          <w:szCs w:val="17"/>
        </w:rPr>
        <w:t xml:space="preserve">05 · IDENTIDADE VERBAL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40"/>
          <w:szCs w:val="40"/>
        </w:rPr>
        <w:t xml:space="preserve">Voz da marca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A AZLO fala com precisão, clareza e ambição controlada. Inspira sem simplificar demais nem prometer resultados irreais.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2FAFC" w:sz="1"/>
              <w:left w:val="single" w:color="00AFCB" w:sz="18"/>
              <w:bottom w:val="single" w:color="F2FAFC" w:sz="1"/>
              <w:right w:val="single" w:color="F2FAFC" w:sz="1"/>
            </w:tcBorders>
            <w:shd w:fill="F2FAFC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80"/>
            </w:pPr>
            <w:r>
              <w:rPr>
                <w:rFonts w:ascii="Fraunces" w:cs="Fraunces" w:eastAsia="Fraunces" w:hAnsi="Fraunces"/>
                <w:b/>
                <w:bCs/>
                <w:color w:val="052B57"/>
                <w:sz w:val="20"/>
                <w:szCs w:val="20"/>
              </w:rPr>
              <w:t xml:space="preserve">Como soa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Técnica e serena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Objetiva e elegante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Orientada a decisão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Focada em progresso mensurável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Confiante sem arrogância</w:t>
            </w:r>
          </w:p>
        </w:tc>
        <w:tc>
          <w:tcPr>
            <w:tcW w:type="dxa" w:w="4680"/>
            <w:tcBorders>
              <w:top w:val="single" w:color="FBEEEC" w:sz="1"/>
              <w:left w:val="single" w:color="C0392B" w:sz="18"/>
              <w:bottom w:val="single" w:color="FBEEEC" w:sz="1"/>
              <w:right w:val="single" w:color="FBEEEC" w:sz="1"/>
            </w:tcBorders>
            <w:shd w:fill="FBEEEC" w:val="clear"/>
            <w:tcMar>
              <w:top w:type="dxa" w:w="130"/>
              <w:left w:type="dxa" w:w="180"/>
              <w:bottom w:type="dxa" w:w="130"/>
              <w:right w:type="dxa" w:w="160"/>
            </w:tcMar>
          </w:tcPr>
          <w:p>
            <w:pPr>
              <w:spacing w:after="80"/>
            </w:pPr>
            <w:r>
              <w:rPr>
                <w:rFonts w:ascii="Fraunces" w:cs="Fraunces" w:eastAsia="Fraunces" w:hAnsi="Fraunces"/>
                <w:b/>
                <w:bCs/>
                <w:color w:val="052B57"/>
                <w:sz w:val="20"/>
                <w:szCs w:val="20"/>
              </w:rPr>
              <w:t xml:space="preserve">Como NÃO soa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Agressiva ou milagrosa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Moralista ou guru-like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Excessivamente fitness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Hiperprodutiva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/>
            </w:pPr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Pseudocientífica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0A5E9C" w:sz="4" w:space="10"/>
        </w:pBdr>
        <w:spacing w:after="0" w:before="160"/>
      </w:pPr>
      <w:r>
        <w:t xml:space="preserve"/>
      </w:r>
    </w:p>
    <w:p>
      <w:pPr>
        <w:spacing w:after="100" w:before="140"/>
        <w:ind w:left="260"/>
      </w:pPr>
      <w:r>
        <w:rPr>
          <w:rFonts w:ascii="Fraunces" w:cs="Fraunces" w:eastAsia="Fraunces" w:hAnsi="Fraunces"/>
          <w:b/>
          <w:bCs/>
          <w:color w:val="052B57"/>
          <w:sz w:val="20"/>
          <w:szCs w:val="20"/>
        </w:rPr>
        <w:t xml:space="preserve">Regra verbal</w:t>
      </w:r>
    </w:p>
    <w:p>
      <w:pPr>
        <w:spacing w:after="0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Toda frase deve cumprir ao menos uma função: 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orientar, medir, priorizar, explicar, corrigir ou elevar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. Se a frase apenas soa bonita, ela não é suficiente.</w:t>
      </w:r>
    </w:p>
    <w:p>
      <w:pPr>
        <w:pBdr>
          <w:bottom w:val="single" w:color="D5E2EC" w:sz="4" w:space="10"/>
        </w:pBdr>
        <w:spacing w:after="200" w:before="140"/>
      </w:pPr>
      <w:r>
        <w:t xml:space="preserve"/>
      </w:r>
    </w:p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0AFCB"/>
          <w:spacing w:val="30"/>
          <w:sz w:val="17"/>
          <w:szCs w:val="17"/>
        </w:rPr>
        <w:t xml:space="preserve">05 · IDENTIDADE VERBAL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40"/>
          <w:szCs w:val="40"/>
        </w:rPr>
        <w:t xml:space="preserve">Tagline oficial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A v3.0 escolheu abrangência (“optimization as a method”) para caber as quatro frentes. Na prática, isso produziu uma frase que qualquer consultoria genérica poderia usar — sem nada que apontasse para você. A v4.0 corrige isso: a tagline institucional agora ancora na sua aresta mais forte e verificável hoje — clínica + método + tecnologia — em vez de abstração de “life optimization”. A abrangência das quatro frentes passa a ser trabalho das taglines de divisão, não da frase-mãe.</w:t>
      </w:r>
    </w:p>
    <w:p>
      <w:pPr>
        <w:pBdr>
          <w:top w:val="single" w:color="00AFCB" w:sz="4" w:space="10"/>
        </w:pBdr>
        <w:spacing w:after="0" w:before="16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60"/>
        <w:jc w:val="center"/>
      </w:pPr>
      <w:r>
        <w:rPr>
          <w:rFonts w:ascii="Fraunces" w:cs="Fraunces" w:eastAsia="Fraunces" w:hAnsi="Fraunces"/>
          <w:b/>
          <w:bCs/>
          <w:color w:val="052B57"/>
          <w:sz w:val="34"/>
          <w:szCs w:val="34"/>
        </w:rPr>
        <w:t xml:space="preserve">Medicina com método.</w:t>
      </w:r>
    </w:p>
    <w:p>
      <w:pPr>
        <w:spacing w:after="80"/>
        <w:jc w:val="center"/>
      </w:pPr>
      <w:r>
        <w:rPr>
          <w:rFonts w:ascii="Fraunces" w:cs="Fraunces" w:eastAsia="Fraunces" w:hAnsi="Fraunces"/>
          <w:b/>
          <w:bCs/>
          <w:color w:val="00AFCB"/>
          <w:sz w:val="34"/>
          <w:szCs w:val="34"/>
        </w:rPr>
        <w:t xml:space="preserve">Sistemas com critério.</w:t>
      </w:r>
    </w:p>
    <w:p>
      <w:pPr>
        <w:spacing w:after="0"/>
        <w:jc w:val="center"/>
      </w:pPr>
      <w:r>
        <w:rPr>
          <w:rFonts w:ascii="Hanken Grotesk" w:cs="Hanken Grotesk" w:eastAsia="Hanken Grotesk" w:hAnsi="Hanken Grotesk"/>
          <w:i/>
          <w:iCs/>
          <w:color w:val="5B6770"/>
          <w:sz w:val="21"/>
          <w:szCs w:val="21"/>
        </w:rPr>
        <w:t xml:space="preserve">A prática clínica encontra a engenharia de método.</w:t>
      </w:r>
    </w:p>
    <w:p>
      <w:pPr>
        <w:pBdr>
          <w:bottom w:val="single" w:color="D5E2EC" w:sz="4" w:space="10"/>
        </w:pBdr>
        <w:spacing w:after="200" w:before="140"/>
      </w:pPr>
      <w:r>
        <w:t xml:space="preserve"/>
      </w:r>
    </w:p>
    <w:p>
      <w:pPr>
        <w:spacing w:after="140"/>
      </w:pPr>
      <w:r>
        <w:t xml:space="preserve"/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6"/>
          <w:szCs w:val="26"/>
        </w:rPr>
        <w:t xml:space="preserve">Por que esta direção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Tem aresta específica: 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“medicina” e “sistemas” são duas coisas que só fazem sentido juntas em poucas marcas — a sua é uma delas.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Funciona como manchete de Tier 1 (Health) 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e ainda aponta para Labs (sistemas) sem precisar nomeá-lo.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Não promete o que Education e Science ainda não entregam 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— a tagline institucional não força a marca a parecer maior do que é hoje.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6"/>
          <w:szCs w:val="26"/>
        </w:rPr>
        <w:t xml:space="preserve">Reserva tática</w:t>
      </w:r>
    </w:p>
    <w:p>
      <w:pPr>
        <w:spacing w:after="120"/>
      </w:pPr>
      <w:r>
        <w:rPr>
          <w:rFonts w:ascii="Hanken Grotesk" w:cs="Hanken Grotesk" w:eastAsia="Hanken Grotesk" w:hAnsi="Hanken Grotesk"/>
          <w:color w:val="111827"/>
          <w:sz w:val="21"/>
          <w:szCs w:val="21"/>
        </w:rPr>
        <w:t xml:space="preserve">Usar conforme o canal, sempre subordinadas à tagline oficial: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b w:val="false"/>
          <w:bCs w:val="false"/>
          <w:i/>
          <w:iCs/>
          <w:color w:val="111827"/>
          <w:sz w:val="21"/>
          <w:szCs w:val="21"/>
        </w:rPr>
        <w:t xml:space="preserve">“Method over miracles.”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5B6770"/>
          <w:sz w:val="21"/>
          <w:szCs w:val="21"/>
        </w:rPr>
        <w:t xml:space="preserve">  — curta e combativa, ótima para redes sociais.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b w:val="false"/>
          <w:bCs w:val="false"/>
          <w:i/>
          <w:iCs/>
          <w:color w:val="111827"/>
          <w:sz w:val="21"/>
          <w:szCs w:val="21"/>
        </w:rPr>
        <w:t xml:space="preserve">“Onde a clínica encontra o sistema.”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5B6770"/>
          <w:sz w:val="21"/>
          <w:szCs w:val="21"/>
        </w:rPr>
        <w:t xml:space="preserve">  — variação mais direta, intercambiável com a tagline de AZLO Health.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b w:val="false"/>
          <w:bCs w:val="false"/>
          <w:i/>
          <w:iCs/>
          <w:color w:val="111827"/>
          <w:sz w:val="21"/>
          <w:szCs w:val="21"/>
        </w:rPr>
        <w:t xml:space="preserve">“Precision for human ascent.”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5B6770"/>
          <w:sz w:val="21"/>
          <w:szCs w:val="21"/>
        </w:rPr>
        <w:t xml:space="preserve">  — a essência narrativa, utilizável em peças de marca institucional pura.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b w:val="false"/>
          <w:bCs w:val="false"/>
          <w:i/>
          <w:iCs/>
          <w:color w:val="111827"/>
          <w:sz w:val="21"/>
          <w:szCs w:val="21"/>
        </w:rPr>
        <w:t xml:space="preserve">“Optimization as a method. Across everything that matters.”</w:t>
      </w: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5B6770"/>
          <w:sz w:val="21"/>
          <w:szCs w:val="21"/>
        </w:rPr>
        <w:t xml:space="preserve">  — versão v3, mantida apenas para contextos em que as quatro divisões precisem ser citadas explicitamente no mesmo fôlego.</w:t>
      </w:r>
    </w:p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0AFCB"/>
          <w:spacing w:val="30"/>
          <w:sz w:val="17"/>
          <w:szCs w:val="17"/>
        </w:rPr>
        <w:t xml:space="preserve">05 · IDENTIDADE VERBAL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40"/>
          <w:szCs w:val="40"/>
        </w:rPr>
        <w:t xml:space="preserve">Mensagens-chave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Frases reutilizáveis para site, redes, propostas e produtos, ancoradas na tagline oficial.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Mensagem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18"/>
                <w:szCs w:val="18"/>
              </w:rPr>
              <w:t xml:space="preserve">Tagline institucional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i/>
                <w:iCs/>
                <w:color w:val="111827"/>
                <w:sz w:val="19"/>
                <w:szCs w:val="19"/>
              </w:rPr>
              <w:t xml:space="preserve">Medicina com método. Sistemas com critério.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18"/>
                <w:szCs w:val="18"/>
              </w:rPr>
              <w:t xml:space="preserve">Promessa curta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Do ponto de partida ao máximo potencial.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18"/>
                <w:szCs w:val="18"/>
              </w:rPr>
              <w:t xml:space="preserve">Headline forte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Construa uma prática — e sistemas — que operam com clareza e critério.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18"/>
                <w:szCs w:val="18"/>
              </w:rPr>
              <w:t xml:space="preserve">Subheadline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A AZLO integra diagnóstico, método, indicadores e tecnologia para transformar progresso em sistema.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052B57"/>
                <w:sz w:val="18"/>
                <w:szCs w:val="18"/>
              </w:rPr>
              <w:t xml:space="preserve">CTA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Comece pelo diagnóstico. Evolua pelo método.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0AFCB"/>
          <w:spacing w:val="30"/>
          <w:sz w:val="17"/>
          <w:szCs w:val="17"/>
        </w:rPr>
        <w:t xml:space="preserve">05 · IDENTIDADE VERBAL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40"/>
          <w:szCs w:val="40"/>
        </w:rPr>
        <w:t xml:space="preserve">Banco verbal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Palavras orientam percepção. Evitar tanto o excesso de frieza quanto o entusiasmo vazio.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Usar</w:t>
            </w:r>
          </w:p>
        </w:tc>
        <w:tc>
          <w:tcPr>
            <w:tcW w:type="dxa" w:w="31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Usar com cuidado</w:t>
            </w:r>
          </w:p>
        </w:tc>
        <w:tc>
          <w:tcPr>
            <w:tcW w:type="dxa" w:w="31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Evitar</w:t>
            </w:r>
          </w:p>
        </w:tc>
      </w:tr>
      <w:tr>
        <w:tc>
          <w:tcPr>
            <w:tcW w:type="dxa" w:w="31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A6B2E"/>
                <w:sz w:val="18"/>
                <w:szCs w:val="18"/>
              </w:rPr>
              <w:t xml:space="preserve">Método · Sistema · Clareza · Ascensão · Indicadores · Consistência · Otimização · Precisão · Longevidade · Performance sustentável · Evidência · Calibrar</w:t>
            </w:r>
          </w:p>
        </w:tc>
        <w:tc>
          <w:tcPr>
            <w:tcW w:type="dxa" w:w="31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8A6D00"/>
                <w:sz w:val="18"/>
                <w:szCs w:val="18"/>
              </w:rPr>
              <w:t xml:space="preserve">Biohacking · Alta performance · Protocolos · Disciplina · Potencial · Transformação · Elite · Aprimoramento · IA · Automação</w:t>
            </w:r>
          </w:p>
        </w:tc>
        <w:tc>
          <w:tcPr>
            <w:tcW w:type="dxa" w:w="312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9A2A20"/>
                <w:sz w:val="18"/>
                <w:szCs w:val="18"/>
              </w:rPr>
              <w:t xml:space="preserve">Milagre · Hack definitivo · Resultado garantido · Produtividade infinita · Corpo perfeito · Anti-aging absoluto · Sem esforço · Segredo oculto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00AFCB" w:sz="4" w:space="10"/>
        </w:pBdr>
        <w:spacing w:after="0" w:before="160"/>
      </w:pPr>
      <w:r>
        <w:t xml:space="preserve"/>
      </w:r>
    </w:p>
    <w:p>
      <w:pPr>
        <w:spacing w:after="100" w:before="140"/>
        <w:ind w:left="260"/>
      </w:pPr>
      <w:r>
        <w:rPr>
          <w:rFonts w:ascii="Fraunces" w:cs="Fraunces" w:eastAsia="Fraunces" w:hAnsi="Fraunces"/>
          <w:b/>
          <w:bCs/>
          <w:color w:val="052B57"/>
          <w:sz w:val="20"/>
          <w:szCs w:val="20"/>
        </w:rPr>
        <w:t xml:space="preserve">Tom editorial</w:t>
      </w:r>
    </w:p>
    <w:p>
      <w:pPr>
        <w:spacing w:after="0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Frases curtas para decisões. Frases médias para educação. Evitar parágrafos longos em landing pages. Preferir verbos de construção: 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medir, ajustar, sustentar, calibrar, integrar, ascender.</w:t>
      </w:r>
    </w:p>
    <w:p>
      <w:pPr>
        <w:pBdr>
          <w:bottom w:val="single" w:color="D5E2EC" w:sz="4" w:space="10"/>
        </w:pBdr>
        <w:spacing w:after="200" w:before="140"/>
      </w:pPr>
      <w:r>
        <w:t xml:space="preserve"/>
      </w:r>
    </w:p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A5E9C"/>
          <w:spacing w:val="30"/>
          <w:sz w:val="17"/>
          <w:szCs w:val="17"/>
        </w:rPr>
        <w:t xml:space="preserve">06 · APLICAÇÕES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40"/>
          <w:szCs w:val="40"/>
        </w:rPr>
        <w:t xml:space="preserve">Sistema de conteúdo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A AZLO opera como ecossistema educacional, científico, clínico e comercial — de microconteúdos a produtos de acompanhamento.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Frente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O que abrange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Diagnóstico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Questionários, scorecards, mapas de rotina, biomarcadores, autoavaliação.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Protocolos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Sono, treino, nutrição, foco, planejamento, revisões, higiene digital.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Dashboards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Indicadores simples: energia, humor, sono, treino, aderência, foco, recuperação.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Deep dives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Conteúdos técnicos sobre fisiologia, comportamento, longevidade, performance.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Ferramentas (Labs)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Automações, agentes de IA, scripts, templates vivos e pipelines de conteúdo.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Evidência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Distinguir sempre ciência consolidada, plausibilidade mecanística e opinião operacional.</w:t>
            </w:r>
          </w:p>
        </w:tc>
      </w:tr>
    </w:tbl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A5E9C"/>
          <w:spacing w:val="30"/>
          <w:sz w:val="17"/>
          <w:szCs w:val="17"/>
        </w:rPr>
        <w:t xml:space="preserve">06 · APLICAÇÕES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40"/>
          <w:szCs w:val="40"/>
        </w:rPr>
        <w:t xml:space="preserve">Redes sociais e interface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A AZLO deve parecer um laboratório editorial de otimização — não um perfil motivacional.</w:t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6"/>
          <w:szCs w:val="26"/>
        </w:rPr>
        <w:t xml:space="preserve">Fórmula editorial</w:t>
      </w:r>
    </w:p>
    <w:p>
      <w:pPr>
        <w:pBdr>
          <w:top w:val="single" w:color="0A5E9C" w:sz="4" w:space="10"/>
        </w:pBdr>
        <w:spacing w:after="0" w:before="160"/>
      </w:pPr>
      <w:r>
        <w:t xml:space="preserve"/>
      </w:r>
    </w:p>
    <w:p>
      <w:pPr>
        <w:spacing w:after="0" w:before="100"/>
      </w:pPr>
      <w:r>
        <w:t xml:space="preserve"/>
      </w:r>
    </w:p>
    <w:p>
      <w:pPr>
        <w:spacing w:after="0"/>
      </w:pPr>
      <w:r>
        <w:rPr>
          <w:rFonts w:ascii="Hanken Grotesk" w:cs="Hanken Grotesk" w:eastAsia="Hanken Grotesk" w:hAnsi="Hanken Grotesk"/>
          <w:b/>
          <w:bCs/>
          <w:i w:val="false"/>
          <w:iCs w:val="false"/>
          <w:color w:val="052B57"/>
          <w:sz w:val="21"/>
          <w:szCs w:val="21"/>
        </w:rPr>
        <w:t xml:space="preserve">Problema concreto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00AFCB"/>
          <w:sz w:val="21"/>
          <w:szCs w:val="21"/>
        </w:rPr>
        <w:t xml:space="preserve">  →  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052B57"/>
          <w:sz w:val="21"/>
          <w:szCs w:val="21"/>
        </w:rPr>
        <w:t xml:space="preserve">princípio técnico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00AFCB"/>
          <w:sz w:val="21"/>
          <w:szCs w:val="21"/>
        </w:rPr>
        <w:t xml:space="preserve">  →  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052B57"/>
          <w:sz w:val="21"/>
          <w:szCs w:val="21"/>
        </w:rPr>
        <w:t xml:space="preserve">protocolo simples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00AFCB"/>
          <w:sz w:val="21"/>
          <w:szCs w:val="21"/>
        </w:rPr>
        <w:t xml:space="preserve">  →  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052B57"/>
          <w:sz w:val="21"/>
          <w:szCs w:val="21"/>
        </w:rPr>
        <w:t xml:space="preserve">indicador de acompanhamento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00AFCB"/>
          <w:sz w:val="21"/>
          <w:szCs w:val="21"/>
        </w:rPr>
        <w:t xml:space="preserve">  →  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052B57"/>
          <w:sz w:val="21"/>
          <w:szCs w:val="21"/>
        </w:rPr>
        <w:t xml:space="preserve">critério de revisão</w:t>
      </w:r>
    </w:p>
    <w:p>
      <w:pPr>
        <w:pBdr>
          <w:bottom w:val="single" w:color="D5E2EC" w:sz="4" w:space="10"/>
        </w:pBdr>
        <w:spacing w:after="200" w:before="14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2"/>
        <w:spacing w:after="100" w:before="220"/>
      </w:pPr>
      <w:r>
        <w:rPr>
          <w:rFonts w:ascii="Fraunces" w:cs="Fraunces" w:eastAsia="Fraunces" w:hAnsi="Fraunces"/>
          <w:b/>
          <w:bCs/>
          <w:color w:val="052B57"/>
          <w:sz w:val="26"/>
          <w:szCs w:val="26"/>
        </w:rPr>
        <w:t xml:space="preserve">Landing page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color w:val="111827"/>
          <w:sz w:val="21"/>
          <w:szCs w:val="21"/>
        </w:rPr>
        <w:t xml:space="preserve">Hero comunica diagnóstico, direção e método em poucos segundos.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b w:val="false"/>
          <w:bCs w:val="false"/>
          <w:i w:val="false"/>
          <w:iCs w:val="false"/>
          <w:color w:val="111827"/>
          <w:sz w:val="21"/>
          <w:szCs w:val="21"/>
        </w:rPr>
        <w:t xml:space="preserve">Navegação enxuta: </w:t>
      </w:r>
      <w:r>
        <w:rPr>
          <w:rFonts w:ascii="Hanken Grotesk" w:cs="Hanken Grotesk" w:eastAsia="Hanken Grotesk" w:hAnsi="Hanken Grotesk"/>
          <w:b/>
          <w:bCs/>
          <w:i w:val="false"/>
          <w:iCs w:val="false"/>
          <w:color w:val="111827"/>
          <w:sz w:val="21"/>
          <w:szCs w:val="21"/>
        </w:rPr>
        <w:t xml:space="preserve">Método · Divisões · Conteúdo · Contato.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color w:val="111827"/>
          <w:sz w:val="21"/>
          <w:szCs w:val="21"/>
        </w:rPr>
        <w:t xml:space="preserve">Um CTA primário dominante (“Começar diagnóstico”); acento ciano só nele.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Hanken Grotesk" w:cs="Hanken Grotesk" w:eastAsia="Hanken Grotesk" w:hAnsi="Hanken Grotesk"/>
          <w:color w:val="111827"/>
          <w:sz w:val="21"/>
          <w:szCs w:val="21"/>
        </w:rPr>
        <w:t xml:space="preserve">Acima da dobra: tagline + subheadline + CTA. Nada mais disputa atenção.</w:t>
      </w:r>
    </w:p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A5E9C"/>
          <w:spacing w:val="30"/>
          <w:sz w:val="17"/>
          <w:szCs w:val="17"/>
        </w:rPr>
        <w:t xml:space="preserve">06 · APLICAÇÕES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40"/>
          <w:szCs w:val="40"/>
        </w:rPr>
        <w:t xml:space="preserve">Materiais institucionais e científicos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Em documentos e apresentações, priorizar consistência, legibilidade e arquitetura cognitiva.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Material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Diretriz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Apresentações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Capa com logo grande, uma ideia por slide, cards modulares, gráficos limpos, acento ciano só para foco.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Relatórios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Estrutura executiva: diagnóstico → achados → interpretação → recomendações → próximas decisões.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Conteúdo científico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Citar fontes, marcar nível de evidência, separar fato de inferência e de opinião operacional.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Protocolos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Checklists e fluxos de ação. Linguagem prescritiva, sem prometer resultado garantido.</w:t>
            </w:r>
          </w:p>
        </w:tc>
      </w:tr>
      <w:tr>
        <w:tc>
          <w:tcPr>
            <w:tcW w:type="dxa" w:w="23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Produtos / ferramentas</w:t>
            </w:r>
          </w:p>
        </w:tc>
        <w:tc>
          <w:tcPr>
            <w:tcW w:type="dxa" w:w="70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Templates, guias, dashboards e apps mantêm a mesma gramática: azul, ciano, grid, dados, progresso.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top w:val="single" w:color="052B57" w:sz="4" w:space="10"/>
        </w:pBdr>
        <w:spacing w:after="0" w:before="160"/>
      </w:pPr>
      <w:r>
        <w:t xml:space="preserve"/>
      </w:r>
    </w:p>
    <w:p>
      <w:pPr>
        <w:spacing w:after="100" w:before="140"/>
        <w:ind w:left="260"/>
      </w:pPr>
      <w:r>
        <w:rPr>
          <w:rFonts w:ascii="Fraunces" w:cs="Fraunces" w:eastAsia="Fraunces" w:hAnsi="Fraunces"/>
          <w:b/>
          <w:bCs/>
          <w:color w:val="052B57"/>
          <w:sz w:val="20"/>
          <w:szCs w:val="20"/>
        </w:rPr>
        <w:t xml:space="preserve">Disclaimer recomendado (saúde e ciência)</w:t>
      </w:r>
    </w:p>
    <w:p>
      <w:pPr>
        <w:spacing w:after="0"/>
      </w:pPr>
      <w:r>
        <w:rPr>
          <w:rFonts w:ascii="Hanken Grotesk" w:cs="Hanken Grotesk" w:eastAsia="Hanken Grotesk" w:hAnsi="Hanken Grotesk"/>
          <w:b w:val="false"/>
          <w:bCs w:val="false"/>
          <w:i/>
          <w:iCs/>
          <w:color w:val="111827"/>
          <w:sz w:val="19"/>
          <w:szCs w:val="19"/>
        </w:rPr>
        <w:t xml:space="preserve">Conteúdo educacional. Não substitui avaliação individual por profissional habilitado. Recomendações refletem evidência disponível na data de publicação e podem ser revisadas.</w:t>
      </w:r>
    </w:p>
    <w:p>
      <w:pPr>
        <w:pBdr>
          <w:bottom w:val="single" w:color="D5E2EC" w:sz="4" w:space="10"/>
        </w:pBdr>
        <w:spacing w:after="200" w:before="140"/>
      </w:pPr>
      <w:r>
        <w:t xml:space="preserve"/>
      </w:r>
    </w:p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0AFCB"/>
          <w:spacing w:val="30"/>
          <w:sz w:val="17"/>
          <w:szCs w:val="17"/>
        </w:rPr>
        <w:t xml:space="preserve">07 · GOVERNANÇA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40"/>
          <w:szCs w:val="40"/>
        </w:rPr>
        <w:t xml:space="preserve">Checklist de consistência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Antes de publicar qualquer peça da AZLO, valide estes critérios.</w:t>
      </w:r>
    </w:p>
    <w:p>
      <w:pPr>
        <w:spacing w:after="40" w:before="40"/>
      </w:pPr>
      <w:r>
        <w:rPr>
          <w:color w:val="00AFCB"/>
          <w:sz w:val="22"/>
          <w:szCs w:val="22"/>
        </w:rPr>
        <w:t xml:space="preserve">☐  </w:t>
      </w: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Comunica método, ciência ou decisão prática — não apenas inspiração?</w:t>
      </w:r>
    </w:p>
    <w:p>
      <w:pPr>
        <w:spacing w:after="40" w:before="40"/>
      </w:pPr>
      <w:r>
        <w:rPr>
          <w:color w:val="00AFCB"/>
          <w:sz w:val="22"/>
          <w:szCs w:val="22"/>
        </w:rPr>
        <w:t xml:space="preserve">☐  </w:t>
      </w: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A promessa é plausível, mensurável e sem tom milagroso?</w:t>
      </w:r>
    </w:p>
    <w:p>
      <w:pPr>
        <w:spacing w:after="40" w:before="40"/>
      </w:pPr>
      <w:r>
        <w:rPr>
          <w:color w:val="00AFCB"/>
          <w:sz w:val="22"/>
          <w:szCs w:val="22"/>
        </w:rPr>
        <w:t xml:space="preserve">☐  </w:t>
      </w: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O logo está legível, com respiro adequado e sem distorção?</w:t>
      </w:r>
    </w:p>
    <w:p>
      <w:pPr>
        <w:spacing w:after="40" w:before="40"/>
      </w:pPr>
      <w:r>
        <w:rPr>
          <w:color w:val="00AFCB"/>
          <w:sz w:val="22"/>
          <w:szCs w:val="22"/>
        </w:rPr>
        <w:t xml:space="preserve">☐  </w:t>
      </w: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A paleta respeita azul como base e ciano como acento (70/20/10)?</w:t>
      </w:r>
    </w:p>
    <w:p>
      <w:pPr>
        <w:spacing w:after="40" w:before="40"/>
      </w:pPr>
      <w:r>
        <w:rPr>
          <w:color w:val="00AFCB"/>
          <w:sz w:val="22"/>
          <w:szCs w:val="22"/>
        </w:rPr>
        <w:t xml:space="preserve">☐  </w:t>
      </w: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A tipografia preserva hierarquia e legibilidade?</w:t>
      </w:r>
    </w:p>
    <w:p>
      <w:pPr>
        <w:spacing w:after="40" w:before="40"/>
      </w:pPr>
      <w:r>
        <w:rPr>
          <w:color w:val="00AFCB"/>
          <w:sz w:val="22"/>
          <w:szCs w:val="22"/>
        </w:rPr>
        <w:t xml:space="preserve">☐  </w:t>
      </w: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O material parece premium, técnico e humano ao mesmo tempo?</w:t>
      </w:r>
    </w:p>
    <w:p>
      <w:pPr>
        <w:spacing w:after="40" w:before="40"/>
      </w:pPr>
      <w:r>
        <w:rPr>
          <w:color w:val="00AFCB"/>
          <w:sz w:val="22"/>
          <w:szCs w:val="22"/>
        </w:rPr>
        <w:t xml:space="preserve">☐  </w:t>
      </w: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Há distinção clara entre evidência, interpretação e opinião operacional?</w:t>
      </w:r>
    </w:p>
    <w:p>
      <w:pPr>
        <w:spacing w:after="40" w:before="40"/>
      </w:pPr>
      <w:r>
        <w:rPr>
          <w:color w:val="00AFCB"/>
          <w:sz w:val="22"/>
          <w:szCs w:val="22"/>
        </w:rPr>
        <w:t xml:space="preserve">☐  </w:t>
      </w: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Se é de uma divisão, o lockup e o acento-assinatura estão corretos?</w:t>
      </w:r>
    </w:p>
    <w:p>
      <w:pPr>
        <w:spacing w:after="40" w:before="40"/>
      </w:pPr>
      <w:r>
        <w:rPr>
          <w:color w:val="00AFCB"/>
          <w:sz w:val="22"/>
          <w:szCs w:val="22"/>
        </w:rPr>
        <w:t xml:space="preserve">☐  </w:t>
      </w:r>
      <w:r>
        <w:rPr>
          <w:rFonts w:ascii="Hanken Grotesk" w:cs="Hanken Grotesk" w:eastAsia="Hanken Grotesk" w:hAnsi="Hanken Grotesk"/>
          <w:color w:val="111827"/>
          <w:sz w:val="20"/>
          <w:szCs w:val="20"/>
        </w:rPr>
        <w:t xml:space="preserve">Existe um próximo passo claro para o usuário?</w:t>
      </w:r>
    </w:p>
    <w:p>
      <w:r>
        <w:br w:type="page"/>
      </w:r>
    </w:p>
    <w:p>
      <w:pPr>
        <w:spacing w:after="60" w:before="80"/>
      </w:pPr>
      <w:r>
        <w:rPr>
          <w:rFonts w:ascii="Hanken Grotesk" w:cs="Hanken Grotesk" w:eastAsia="Hanken Grotesk" w:hAnsi="Hanken Grotesk"/>
          <w:b/>
          <w:bCs/>
          <w:color w:val="00AFCB"/>
          <w:spacing w:val="30"/>
          <w:sz w:val="17"/>
          <w:szCs w:val="17"/>
        </w:rPr>
        <w:t xml:space="preserve">07 · GOVERNANÇA</w:t>
      </w:r>
    </w:p>
    <w:p>
      <w:pPr>
        <w:pStyle w:val="Heading1"/>
        <w:spacing w:after="160" w:before="60"/>
      </w:pPr>
      <w:r>
        <w:rPr>
          <w:rFonts w:ascii="Fraunces" w:cs="Fraunces" w:eastAsia="Fraunces" w:hAnsi="Fraunces"/>
          <w:b/>
          <w:bCs/>
          <w:color w:val="052B57"/>
          <w:sz w:val="40"/>
          <w:szCs w:val="40"/>
        </w:rPr>
        <w:t xml:space="preserve">Próximos ativos recomendados</w:t>
      </w:r>
    </w:p>
    <w:p>
      <w:pPr>
        <w:spacing w:after="160"/>
      </w:pPr>
      <w:r>
        <w:rPr>
          <w:rFonts w:ascii="Hanken Grotesk" w:cs="Hanken Grotesk" w:eastAsia="Hanken Grotesk" w:hAnsi="Hanken Grotesk"/>
          <w:color w:val="5B6770"/>
          <w:sz w:val="21"/>
          <w:szCs w:val="21"/>
        </w:rPr>
        <w:t xml:space="preserve">Priorizados pelo tier de cada divisão — Tier 3 (Education, Science) não recebe ativos de marca até ter produto. Ver também o Plano de Publicação (MVP), documento complementar focado em colocar algo real no ar antes do próximo ciclo de documentação.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560"/>
        <w:gridCol w:w="1700"/>
      </w:tblGrid>
      <w:tr>
        <w:trPr>
          <w:tblHeader/>
        </w:trP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Ativo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052B57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r>
              <w:rPr>
                <w:rFonts w:ascii="Fraunces" w:cs="Fraunces" w:eastAsia="Fraunces" w:hAnsi="Fraunces"/>
                <w:b/>
                <w:bCs/>
                <w:color w:val="FFFFFF"/>
                <w:sz w:val="19"/>
                <w:szCs w:val="19"/>
              </w:rPr>
              <w:t xml:space="preserve">Prioridade</w:t>
            </w:r>
          </w:p>
        </w:tc>
      </w:tr>
      <w:t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Vetorização do logo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Recriar a wordmark em vetor: corrigir tracking e o baseline de “LIFE”. Gerar SVG/PNG, positivo, negativo, mono, favicon — apenas marca-mãe + lockup AZLO Health (Tier 1).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Peça pública AZLO Health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Uma página ou post real usando a marca — ver Plano de Publicação. Precede qualquer novo documento de marca.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Lockup AZLO Labs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Apenas para uso interno (Tier 2) — sem pressão de lançamento público.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5B6770"/>
                <w:sz w:val="18"/>
                <w:szCs w:val="18"/>
              </w:rPr>
              <w:t xml:space="preserve">Baixa</w:t>
            </w:r>
          </w:p>
        </w:tc>
      </w:tr>
      <w:t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Lockups Education / Science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Não produzir agora — Tier 3. Retomar quando houver produto (curso publicado / submissão regular).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5B6770"/>
                <w:sz w:val="18"/>
                <w:szCs w:val="18"/>
              </w:rPr>
              <w:t xml:space="preserve">Adiado</w:t>
            </w:r>
          </w:p>
        </w:tc>
      </w:tr>
      <w:t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Legal e marca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Disponibilidade, registro de marca, domínio, handle, padrão de disclaimers.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C0392B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1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Design system / templates</w:t>
            </w:r>
          </w:p>
        </w:tc>
        <w:tc>
          <w:tcPr>
            <w:tcW w:type="dxa" w:w="556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color w:val="111827"/>
                <w:sz w:val="19"/>
                <w:szCs w:val="19"/>
              </w:rPr>
              <w:t xml:space="preserve">Componentes para posts e documentos — só depois da peça pública validar a marca.</w:t>
            </w:r>
          </w:p>
        </w:tc>
        <w:tc>
          <w:tcPr>
            <w:tcW w:type="dxa" w:w="1700"/>
            <w:tcBorders>
              <w:top w:val="single" w:color="D5E2EC" w:sz="1"/>
              <w:left w:val="single" w:color="D5E2EC" w:sz="1"/>
              <w:bottom w:val="single" w:color="D5E2EC" w:sz="1"/>
              <w:right w:val="single" w:color="D5E2EC" w:sz="1"/>
            </w:tcBorders>
            <w:shd w:fill="F2FA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r>
              <w:rPr>
                <w:rFonts w:ascii="Hanken Grotesk" w:cs="Hanken Grotesk" w:eastAsia="Hanken Grotesk" w:hAnsi="Hanken Grotesk"/>
                <w:b/>
                <w:bCs/>
                <w:color w:val="8A6D00"/>
                <w:sz w:val="18"/>
                <w:szCs w:val="18"/>
              </w:rPr>
              <w:t xml:space="preserve">Média</w:t>
            </w:r>
          </w:p>
        </w:tc>
      </w:tr>
    </w:tbl>
    <w:p>
      <w:r>
        <w:br w:type="page"/>
      </w:r>
    </w:p>
    <w:p>
      <w:pPr>
        <w:spacing w:after="0" w:before="1800"/>
      </w:pPr>
      <w:r>
        <w:rPr>
          <w:sz w:val="2"/>
          <w:szCs w:val="2"/>
        </w:rPr>
        <w:t xml:space="preserve"/>
      </w:r>
    </w:p>
    <w:p>
      <w:pPr>
        <w:pBdr>
          <w:bottom w:val="single" w:color="00AFCB" w:sz="18" w:space="8"/>
        </w:pBdr>
        <w:spacing w:after="200"/>
      </w:pPr>
      <w:r>
        <w:t xml:space="preserve"/>
      </w:r>
    </w:p>
    <w:p>
      <w:pPr>
        <w:spacing w:after="200"/>
        <w:jc w:val="left"/>
      </w:pPr>
      <w:r>
        <w:drawing>
          <wp:inline distT="0" distB="0" distL="0" distR="0">
            <wp:extent cx="1428750" cy="1571625"/>
            <wp:effectExtent t="0" r="0" b="0" l="0"/>
            <wp:docPr id="1" name="AZLO símbolo" descr="Monograma A/Z AZLO" title="AZLO símbo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</w:pPr>
      <w:r>
        <w:rPr>
          <w:rFonts w:ascii="Fraunces" w:cs="Fraunces" w:eastAsia="Fraunces" w:hAnsi="Fraunces"/>
          <w:b/>
          <w:bCs/>
          <w:color w:val="052B57"/>
          <w:sz w:val="30"/>
          <w:szCs w:val="30"/>
        </w:rPr>
        <w:t xml:space="preserve">Do Alpha ao Zenith.</w:t>
      </w:r>
    </w:p>
    <w:p>
      <w:pPr>
        <w:spacing w:after="240"/>
      </w:pPr>
      <w:r>
        <w:rPr>
          <w:rFonts w:ascii="Hanken Grotesk" w:cs="Hanken Grotesk" w:eastAsia="Hanken Grotesk" w:hAnsi="Hanken Grotesk"/>
          <w:i/>
          <w:iCs/>
          <w:color w:val="5B6770"/>
          <w:sz w:val="22"/>
          <w:szCs w:val="22"/>
        </w:rPr>
        <w:t xml:space="preserve">Método como base. Performance como consequência.</w:t>
      </w:r>
    </w:p>
    <w:p>
      <w:pPr>
        <w:pBdr>
          <w:top w:val="single" w:color="D5E2EC" w:sz="6" w:space="6"/>
        </w:pBdr>
        <w:spacing w:before="200"/>
      </w:pPr>
      <w:r>
        <w:rPr>
          <w:rFonts w:ascii="Hanken Grotesk" w:cs="Hanken Grotesk" w:eastAsia="Hanken Grotesk" w:hAnsi="Hanken Grotesk"/>
          <w:color w:val="5B6770"/>
          <w:sz w:val="17"/>
          <w:szCs w:val="17"/>
        </w:rPr>
        <w:t xml:space="preserve">Brand Book v4.0  ·  AZLO — Alpha Zenith Life Optimization  ·  Documento operacional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E2EC" w:sz="4" w:space="6"/>
      </w:pBdr>
      <w:tabs>
        <w:tab w:val="right" w:pos="9360"/>
      </w:tabs>
    </w:pPr>
    <w:r>
      <w:rPr>
        <w:rFonts w:ascii="Hanken Grotesk" w:cs="Hanken Grotesk" w:eastAsia="Hanken Grotesk" w:hAnsi="Hanken Grotesk"/>
        <w:color w:val="5B6770"/>
        <w:sz w:val="15"/>
        <w:szCs w:val="15"/>
      </w:rPr>
      <w:t xml:space="preserve">AZLO — Alpha Zenith Life Optimization</w:t>
    </w:r>
    <w:r>
      <w:rPr>
        <w:sz w:val="15"/>
        <w:szCs w:val="15"/>
      </w:rPr>
      <w:t xml:space="preserve">	</w:t>
    </w:r>
    <w:r>
      <w:rPr>
        <w:rFonts w:ascii="Hanken Grotesk" w:cs="Hanken Grotesk" w:eastAsia="Hanken Grotesk" w:hAnsi="Hanken Grotesk"/>
        <w:color w:val="5B6770"/>
        <w:sz w:val="15"/>
        <w:szCs w:val="15"/>
      </w:rPr>
      <w:t xml:space="preserve">Brand Book v4.0  ·  </w:t>
    </w:r>
    <w:r>
      <w:rPr>
        <w:rFonts w:ascii="Hanken Grotesk" w:cs="Hanken Grotesk" w:eastAsia="Hanken Grotesk" w:hAnsi="Hanken Grotesk"/>
        <w:b/>
        <w:bCs/>
        <w:color w:val="052B57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00AFC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anken Grotesk" w:cs="Hanken Grotesk" w:eastAsia="Hanken Grotesk" w:hAnsi="Hanken Grotesk"/>
        <w:color w:val="11182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60"/>
      <w:outlineLvl w:val="0"/>
    </w:pPr>
    <w:rPr>
      <w:rFonts w:ascii="Fraunces" w:cs="Fraunces" w:eastAsia="Fraunces" w:hAnsi="Fraunces"/>
      <w:b/>
      <w:bCs/>
      <w:color w:val="052B5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Fraunces" w:cs="Fraunces" w:eastAsia="Fraunces" w:hAnsi="Fraunces"/>
      <w:b/>
      <w:bCs/>
      <w:color w:val="052B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6035d031dfd0ba284902739f0503819c9c1bbb0.png"/><Relationship Id="rId9" Type="http://schemas.openxmlformats.org/officeDocument/2006/relationships/image" Target="media/0a2e103f4382d4f602016272c7a6bd6d6710fe2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AZLO Brand Book v4.0</dc:title>
  <dc:creator>AZLO</dc:creator>
  <cp:lastModifiedBy>Un-named</cp:lastModifiedBy>
  <cp:revision>1</cp:revision>
  <dcterms:created xsi:type="dcterms:W3CDTF">2026-06-29T14:22:08.570Z</dcterms:created>
  <dcterms:modified xsi:type="dcterms:W3CDTF">2026-06-29T14:22:08.584Z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