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</w:pPr>
      <w:r>
        <w:rPr>
          <w:sz w:val="2"/>
          <w:szCs w:val="2"/>
        </w:rPr>
        <w:t xml:space="preserve"/>
      </w:r>
    </w:p>
    <w:p>
      <w:pPr>
        <w:pBdr>
          <w:bottom w:val="single" w:color="00AFCB" w:sz="18" w:space="8"/>
        </w:pBdr>
        <w:spacing w:after="240"/>
      </w:pPr>
      <w:r>
        <w:t xml:space="preserve"/>
      </w:r>
    </w:p>
    <w:p>
      <w:pPr>
        <w:spacing w:after="160"/>
        <w:jc w:val="left"/>
      </w:pPr>
      <w:r>
        <w:drawing>
          <wp:inline distT="0" distB="0" distL="0" distR="0">
            <wp:extent cx="3048000" cy="1257300"/>
            <wp:effectExtent t="0" r="0" b="0" l="0"/>
            <wp:docPr id="1" name="AZLO" descr="Logo AZLO atual (referência)" title="AZ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00"/>
      </w:pPr>
      <w:r>
        <w:rPr>
          <w:rFonts w:ascii="Sora" w:cs="Sora" w:eastAsia="Sora" w:hAnsi="Sora"/>
          <w:b/>
          <w:bCs/>
          <w:color w:val="052B57"/>
          <w:sz w:val="48"/>
          <w:szCs w:val="48"/>
        </w:rPr>
        <w:t xml:space="preserve">Especificação de Vetorização</w:t>
      </w:r>
    </w:p>
    <w:p>
      <w:pPr>
        <w:spacing w:after="200"/>
      </w:pPr>
      <w:r>
        <w:rPr>
          <w:rFonts w:ascii="Inter" w:cs="Inter" w:eastAsia="Inter" w:hAnsi="Inter"/>
          <w:color w:val="5B6770"/>
          <w:sz w:val="23"/>
          <w:szCs w:val="23"/>
        </w:rPr>
        <w:t xml:space="preserve">Briefing técnico para a wordmark AZLO e lockups das quatro divisões</w:t>
      </w:r>
    </w:p>
    <w:p>
      <w:pPr>
        <w:pBdr>
          <w:top w:val="single" w:color="D5E2EC" w:sz="6" w:space="6"/>
        </w:pBdr>
        <w:spacing w:before="200"/>
      </w:pPr>
      <w:r>
        <w:rPr>
          <w:rFonts w:ascii="Inter" w:cs="Inter" w:eastAsia="Inter" w:hAnsi="Inter"/>
          <w:b/>
          <w:bCs/>
          <w:color w:val="00AFCB"/>
          <w:spacing w:val="20"/>
          <w:sz w:val="17"/>
          <w:szCs w:val="17"/>
        </w:rPr>
        <w:t xml:space="preserve">DOCUMENTO COMPLEMENTAR AO BRAND BOOK V3.0</w:t>
      </w:r>
      <w:r>
        <w:rPr>
          <w:rFonts w:ascii="Inter" w:cs="Inter" w:eastAsia="Inter" w:hAnsi="Inter"/>
          <w:color w:val="5B6770"/>
          <w:spacing w:val="10"/>
          <w:sz w:val="17"/>
          <w:szCs w:val="17"/>
        </w:rPr>
        <w:t xml:space="preserve">   ·   PARA DESIGNER OU EXECUÇÃO PRÓPRIA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COMO USAR ESTE DOCUMENTO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38"/>
          <w:szCs w:val="38"/>
        </w:rPr>
        <w:t xml:space="preserve">Para quem vai executar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Este briefing pode ser entregue a um designer freelance, usado em uma plataforma de design (Figma, Illustrator) por você mesmo, ou colado diretamente num prompt de geração vetorial assistida. Ele assume zero contexto prévio — tudo que está no brand book relevante para o logo foi reduzido a parâmetros executáveis.</w:t>
      </w:r>
    </w:p>
    <w:tbl>
      <w:tblPr>
        <w:tblW w:type="dxa" w:w="9360"/>
        <w:tblBorders>
          <w:top w:val="single" w:color="F2FAFC" w:sz="1"/>
          <w:left w:val="single" w:color="00AFCB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Entregáveis esperados ao final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Inter" w:cs="Inter" w:eastAsia="Inter" w:hAnsi="Inter"/>
                <w:color w:val="111827"/>
                <w:sz w:val="21"/>
                <w:szCs w:val="21"/>
              </w:rPr>
              <w:t xml:space="preserve">Wordmark “AZLO” corrigida, em vetor (.svg/.ai/.eps), com tracking uniforme.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Inter" w:cs="Inter" w:eastAsia="Inter" w:hAnsi="Inter"/>
                <w:color w:val="111827"/>
                <w:sz w:val="21"/>
                <w:szCs w:val="21"/>
              </w:rPr>
              <w:t xml:space="preserve">Assinatura completa (símbolo + wordmark + tagline) com baseline corrigida.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Inter" w:cs="Inter" w:eastAsia="Inter" w:hAnsi="Inter"/>
                <w:color w:val="111827"/>
                <w:sz w:val="21"/>
                <w:szCs w:val="21"/>
              </w:rPr>
              <w:t xml:space="preserve">Kit de versões: positiva, negativa, monocromática, símbolo isolado, favicon.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Inter" w:cs="Inter" w:eastAsia="Inter" w:hAnsi="Inter"/>
                <w:color w:val="111827"/>
                <w:sz w:val="21"/>
                <w:szCs w:val="21"/>
              </w:rPr>
              <w:t xml:space="preserve">Quatro lockups de divisão: AZLO Health, AZLO Education, AZLO Science, AZLO Labs.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01 · DIAGNÓSTICO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38"/>
          <w:szCs w:val="38"/>
        </w:rPr>
        <w:t xml:space="preserve">O que precisa ser corrigido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O logo atual (gerado por IA, ver referência abaixo) tem o símbolo resolvido. Os dois problemas estão exclusivamente na wordmark e na tagline.</w:t>
      </w:r>
    </w:p>
    <w:tbl>
      <w:tblPr>
        <w:tblW w:type="dxa" w:w="9360"/>
        <w:tblBorders>
          <w:top w:val="single" w:color="FFFFFF" w:sz="1"/>
          <w:left w:val="single" w:color="D5E2EC" w:sz="24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000500" cy="1647825"/>
                  <wp:effectExtent t="0" r="0" b="0" l="0"/>
                  <wp:docPr id="1" name="AZLO" descr="Logo AZLO atual (referência)" title="AZL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i w:val="false"/>
          <w:iCs w:val="false"/>
          <w:color w:val="5B6770"/>
          <w:sz w:val="21"/>
          <w:szCs w:val="21"/>
        </w:rPr>
        <w:t xml:space="preserve">Referência atual — </w:t>
      </w:r>
      <w:r>
        <w:rPr>
          <w:rFonts w:ascii="Inter" w:cs="Inter" w:eastAsia="Inter" w:hAnsi="Inter"/>
          <w:b w:val="false"/>
          <w:bCs w:val="false"/>
          <w:i/>
          <w:iCs/>
          <w:color w:val="5B6770"/>
          <w:sz w:val="21"/>
          <w:szCs w:val="21"/>
        </w:rPr>
        <w:t xml:space="preserve">usar como ponto de partida de forma, cor e proporção. NÃO usar como referência de espaçamento entre letras nem de alinhamento da tagline (ver problemas 1 e 2 abaixo).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5"/>
          <w:szCs w:val="25"/>
        </w:rPr>
        <w:t xml:space="preserve">Problema 1 — Tracking irregular na wordmark</w:t>
      </w:r>
    </w:p>
    <w:p>
      <w:pPr>
        <w:spacing w:after="12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Medição direta nos pixels do arquivo de referência (região da wordmark, 507–1164px no arquivo original):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60"/>
        <w:gridCol w:w="3900"/>
      </w:tblGrid>
      <w:tr>
        <w:trPr>
          <w:tblHeader/>
        </w:trPr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Par de letras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Gap medido</w:t>
            </w:r>
          </w:p>
        </w:tc>
        <w:tc>
          <w:tcPr>
            <w:tcW w:type="dxa" w:w="3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Gap como % da largura média de letra</w:t>
            </w:r>
          </w:p>
        </w:tc>
      </w:tr>
      <w:tr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 → Z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14 px</w:t>
            </w:r>
          </w:p>
        </w:tc>
        <w:tc>
          <w:tcPr>
            <w:tcW w:type="dxa" w:w="3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C0392B"/>
                <w:sz w:val="19"/>
                <w:szCs w:val="19"/>
              </w:rPr>
              <w:t xml:space="preserve">9,7%  </w:t>
            </w:r>
          </w:p>
          <w:p>
            <w:r>
              <w:rPr>
                <w:rFonts w:ascii="Inter" w:cs="Inter" w:eastAsia="Inter" w:hAnsi="Inter"/>
                <w:color w:val="5B6770"/>
                <w:sz w:val="17"/>
                <w:szCs w:val="17"/>
              </w:rPr>
              <w:t xml:space="preserve">(referência — maior gap)</w:t>
            </w:r>
          </w:p>
        </w:tc>
      </w:tr>
      <w:tr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Z → L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12 px (ruído da diagonal do Z)</w:t>
            </w:r>
          </w:p>
        </w:tc>
        <w:tc>
          <w:tcPr>
            <w:tcW w:type="dxa" w:w="3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8,3%</w:t>
            </w:r>
          </w:p>
        </w:tc>
      </w:tr>
      <w:tr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L → O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6 px</w:t>
            </w:r>
          </w:p>
        </w:tc>
        <w:tc>
          <w:tcPr>
            <w:tcW w:type="dxa" w:w="3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C0392B"/>
                <w:sz w:val="19"/>
                <w:szCs w:val="19"/>
              </w:rPr>
              <w:t xml:space="preserve">4,2%  </w:t>
            </w:r>
          </w:p>
          <w:p>
            <w:r>
              <w:rPr>
                <w:rFonts w:ascii="Inter" w:cs="Inter" w:eastAsia="Inter" w:hAnsi="Inter"/>
                <w:color w:val="5B6770"/>
                <w:sz w:val="17"/>
                <w:szCs w:val="17"/>
              </w:rPr>
              <w:t xml:space="preserve">(menos da metade do gap A→Z)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FBEEEC" w:sz="1"/>
          <w:left w:val="single" w:color="C0392B" w:sz="24"/>
          <w:bottom w:val="single" w:color="FBEEEC" w:sz="1"/>
          <w:right w:val="single" w:color="FBEE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E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Critério de aceite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O gap entre cada par de letras deve variar no máximo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±1% da largura média de letra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. Hoje a variação é de mais de 5 pontos percentuais (4,2% a 9,7%) — quase o dobro entre o par mais apertado e o mais aberto.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01 · DIAGNÓSTICO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38"/>
          <w:szCs w:val="38"/>
        </w:rPr>
        <w:t xml:space="preserve">Problema 2 — Baseline da tagline</w:t>
      </w:r>
    </w:p>
    <w:p>
      <w:pPr>
        <w:spacing w:after="12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Na linha “ALPHA ZENITH LIFE OPTIMIZATION”, a palavra “LIFE” está deslocada verticalmente em relação às demais palavras — artefato comum de geração de texto por IA, que trata cada palavra como um elemento independente em vez de respeitar uma única linha de base tipográfica.</w:t>
      </w:r>
    </w:p>
    <w:tbl>
      <w:tblPr>
        <w:tblW w:type="dxa" w:w="9360"/>
        <w:tblBorders>
          <w:top w:val="single" w:color="FBEEEC" w:sz="1"/>
          <w:left w:val="single" w:color="C0392B" w:sz="24"/>
          <w:bottom w:val="single" w:color="FBEEEC" w:sz="1"/>
          <w:right w:val="single" w:color="FBEE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E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Critério de aceite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Todas as palavras da tagline devem compartilhar exatamente a mesma linha de base (baseline), o mesmo eixo-x e a mesma altura de caixa-alta. Em vetor, isso é trivial: a tagline deve ser composta como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um único objeto de texto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, nunca como palavras soltas posicionadas manualmente.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5"/>
          <w:szCs w:val="25"/>
        </w:rPr>
        <w:t xml:space="preserve">O que NÃO precisa mudar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Monograma A/Z (triângulo, estrela-guia, arco) — manter forma e proporção atuais.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Paleta de cores — Deep Navy, Zenith Blue, Arc Teal, Vital Cyan (ver página de cores).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Conceito geral de composição — símbolo à esquerda, wordmark à direita, tagline abaixo.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02 · ESPECIFICAÇÃO DA WORDMARK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38"/>
          <w:szCs w:val="38"/>
        </w:rPr>
        <w:t xml:space="preserve">Tipografia candidata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O brand book já define a família de display: Space Grotesk ou Sora. Ambas são geométricas, gratuitas (Google Fonts) e têm pesos que cobrem bem uma wordmark institucional.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Peso recomendado</w:t>
            </w:r>
          </w:p>
        </w:tc>
        <w:tc>
          <w:tcPr>
            <w:tcW w:type="dxa" w:w="47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Notas para a wordmark</w:t>
            </w:r>
          </w:p>
        </w:tc>
      </w:tr>
      <w:tr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Space Grotesk</w:t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Bold / SemiBold</w:t>
            </w:r>
          </w:p>
        </w:tc>
        <w:tc>
          <w:tcPr>
            <w:tcW w:type="dxa" w:w="47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O “O” é mais circular e o “Z” tem ângulos levemente mais abertos — combina bem com o arco do símbolo.</w:t>
            </w:r>
          </w:p>
        </w:tc>
      </w:tr>
      <w:tr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Sora</w:t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Bold / SemiBold</w:t>
            </w:r>
          </w:p>
        </w:tc>
        <w:tc>
          <w:tcPr>
            <w:tcW w:type="dxa" w:w="47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Levemente mais condensada; “A” com ápice mais fino, ecoa o triângulo do monograma.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Recomendação: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testar a wordmark nas duas e decidir por proximidade visual ao monograma já existente — o critério é qual delas faz o “A” e o “Z” da palavra rimarem melhor com o “A” e o “Z” do símbolo.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02 · ESPECIFICAÇÃO DA WORDMARK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38"/>
          <w:szCs w:val="38"/>
        </w:rPr>
        <w:t xml:space="preserve">Parâmetros de espaçamento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Valor especificado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Tracking (letter-spacing)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Uniforme em toda a palavra. Valor sugerido: +10 a +20 unidades (escala 1000/em), ajustado visualmente até o olho não detectar gaps desiguais.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Kerning de pares específicos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Desligar kerning automático da fonte para a wordmark; aplicar tracking uniforme manualmente — kerning automático é o que geralmente cria a inconsistência percebida em logotipos curtos.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Altura x símbolo ↔ wordmark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Altura da wordmark (caixa-alta) = 60–65% da altura total do símbolo (triângulo).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Espaço símbolo ↔ wordmark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Igual à largura do traço (stroke) mais largo do símbolo × 3, aproximadamente.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Alinhamento vertical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Centralizar a wordmark no eixo vertical do símbolo (meio do triângulo até a base do Z).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5"/>
          <w:szCs w:val="25"/>
        </w:rPr>
        <w:t xml:space="preserve">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Valor especificado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Composição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Um único objeto de texto — nunca palavras soltas.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Tracking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Mais aberto que a wordmark: +40 a +60 unidades (efeito “legenda técnica”, já presente no logo atual).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Peso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Regular ou Medium — nunca Bold (contraste com a wordmark, que é Bold).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Cor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Zenith Blue (#0A5E9C) ou Graphite (#111827) — nunca a mesma cor exata da wordmark principal.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Filetes (traços) laterais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Manter os dois traços horizontais ladeando a tagline, como no logo atual — funcionam bem.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03 · GRID DE CONSTRUÇÃO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38"/>
          <w:szCs w:val="38"/>
        </w:rPr>
        <w:t xml:space="preserve">Proporções e clearspace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Valores herdados do brand book v2.0/v3.0 — repetidos aqui para que o designer não precise consultar dois documentos.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Clearspace mínimo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Altura aproximada da letra “A” do wordmark, em todos os lados da assinatura completa.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Tamanho mínimo digital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Assinatura completa: 220 px de largura. Wordmark isolada: 96 px. Símbolo isolado: 32 px.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Tamanho mínimo impresso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Assinatura completa: 45 mm de largura. Símbolo isolado: 10 mm.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Proporção símbolo : wordmark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Aproximadamente 1 : 2,4 (largura do símbolo isolado é ~42% da largura da wordmark isolada) — ver referência atual, que acerta essa proporção.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Regra de corte da tagline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Se a tagline ficar ilegível na redução, removê-la e manter apenas “AZLO” ou o símbolo.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F2FAFC" w:sz="1"/>
          <w:left w:val="single" w:color="0A5E9C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Entregar também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Inter" w:cs="Inter" w:eastAsia="Inter" w:hAnsi="Inter"/>
                <w:color w:val="111827"/>
                <w:sz w:val="21"/>
                <w:szCs w:val="21"/>
              </w:rPr>
              <w:t xml:space="preserve">Versão do símbolo com grid de construção visível (linhas-guia, ângulos, proporções) — útil para qualquer redesenho futuro.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Inter" w:cs="Inter" w:eastAsia="Inter" w:hAnsi="Inter"/>
                <w:color w:val="111827"/>
                <w:sz w:val="21"/>
                <w:szCs w:val="21"/>
              </w:rPr>
              <w:t xml:space="preserve">Arquivo-fonte editável (.ai ou .fig) além do .svg final — não apenas o exportado.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04 · PALETA TÉCNICA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38"/>
          <w:szCs w:val="38"/>
        </w:rPr>
        <w:t xml:space="preserve">Valores de cor para produção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Hex, mas também RGB e indicação de uso em traçado vetorial (stroke vs. fill) para evitar ambiguidade na exportação.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60"/>
        <w:gridCol w:w="3800"/>
      </w:tblGrid>
      <w:tr>
        <w:trPr>
          <w:tblHeader/>
        </w:trP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Hex / RGB</w:t>
            </w:r>
          </w:p>
        </w:tc>
        <w:tc>
          <w:tcPr>
            <w:tcW w:type="dxa" w:w="3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Uso no logo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Deep Navy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#052B57 · RGB(5,43,87)</w:t>
            </w:r>
          </w:p>
        </w:tc>
        <w:tc>
          <w:tcPr>
            <w:tcW w:type="dxa" w:w="3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Wordmark, base do monograma, texto institucional.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A5E9C"/>
                <w:sz w:val="18"/>
                <w:szCs w:val="18"/>
              </w:rPr>
              <w:t xml:space="preserve">Zenith Blue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#0A5E9C · RGB(10,94,156)</w:t>
            </w:r>
          </w:p>
        </w:tc>
        <w:tc>
          <w:tcPr>
            <w:tcW w:type="dxa" w:w="3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Gradiente do “Z”, tagline alternativa.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0AFCB"/>
                <w:sz w:val="18"/>
                <w:szCs w:val="18"/>
              </w:rPr>
              <w:t xml:space="preserve">Arc Teal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#00AFCB · RGB(0,175,203)</w:t>
            </w:r>
          </w:p>
        </w:tc>
        <w:tc>
          <w:tcPr>
            <w:tcW w:type="dxa" w:w="3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Arco de trajetória (fill com gradiente para Cyan).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1FA9BD"/>
                <w:sz w:val="18"/>
                <w:szCs w:val="18"/>
              </w:rPr>
              <w:t xml:space="preserve">Vital Cyan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#35D3E6 · RGB(53,211,230)</w:t>
            </w:r>
          </w:p>
        </w:tc>
        <w:tc>
          <w:tcPr>
            <w:tcW w:type="dxa" w:w="3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Estrela-guia, ponta do gradiente do arco.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5"/>
          <w:szCs w:val="25"/>
        </w:rPr>
        <w:t xml:space="preserve">Gradientes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Arco: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Arc Teal (#00AFCB) → Vital Cyan (#35D3E6), da esquerda para a direita.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Base do Z: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Deep Navy (#052B57) → Zenith Blue (#0A5E9C), de baixo para cima — já presente na referência e deve ser preservado.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F2FAFC" w:sz="1"/>
          <w:left w:val="single" w:color="5B6770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Versão monocromática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Para usos técnicos (gravação, bordado, documentos P&amp;B): substituir todos os gradientes por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Deep Navy 100% sólido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. Não simular gradiente em escala de cinza — preservar a leitura como forma sólida.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05 · LOCKUPS DAS DIVISÕES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38"/>
          <w:szCs w:val="38"/>
        </w:rPr>
        <w:t xml:space="preserve">Estrutura comum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Os quatro lockups de divisão seguem a mesma fórmula estrutural, herdada do brand book: símbolo da marca-mãe + “AZLO” em peso forte + nome da divisão em peso regular, mesma linha de base.</w:t>
      </w:r>
    </w:p>
    <w:tbl>
      <w:tblPr>
        <w:tblW w:type="dxa" w:w="9360"/>
        <w:tblBorders>
          <w:top w:val="single" w:color="FFFFFF" w:sz="1"/>
          <w:left w:val="single" w:color="00AFCB" w:sz="24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Fórmula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color w:val="5B6770"/>
                <w:sz w:val="26"/>
                <w:szCs w:val="26"/>
              </w:rPr>
              <w:t xml:space="preserve">[ símbolo ]   </w:t>
            </w:r>
            <w:r>
              <w:rPr>
                <w:rFonts w:ascii="Sora" w:cs="Sora" w:eastAsia="Sora" w:hAnsi="Sora"/>
                <w:b/>
                <w:bCs/>
                <w:color w:val="052B57"/>
                <w:sz w:val="30"/>
                <w:szCs w:val="30"/>
              </w:rPr>
              <w:t xml:space="preserve">AZLO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ascii="Sora" w:cs="Sora" w:eastAsia="Sora" w:hAnsi="Sora"/>
                <w:color w:val="0A5E9C"/>
                <w:sz w:val="30"/>
                <w:szCs w:val="30"/>
              </w:rPr>
              <w:t xml:space="preserve">Divisão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5"/>
          <w:szCs w:val="25"/>
        </w:rPr>
        <w:t xml:space="preserve">Regras de construção do lockup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O símbolo é sempre o mesmo (monograma A/Z da marca-mãe) — divisões não recebem símbolo próprio nesta fase.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“AZLO” mantém Deep Navy fixo em todos os lockups, independente da divisão.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O nome da divisão usa a cor-acento específica (ver tabela abaixo), peso Regular ou Medium — nunca Bold.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Espaço entre “AZLO” e o nome da divisão: igual a um caractere “o” da fonte, no tamanho usado.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Tamanho do nome da divisão: 70–80% da altura de “AZLO” — sutil, nunca competindo em peso visual.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05 · LOCKUPS DAS DIVISÕES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38"/>
          <w:szCs w:val="38"/>
        </w:rPr>
        <w:t xml:space="preserve">Especificação por divisão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60"/>
        <w:gridCol w:w="3400"/>
      </w:tblGrid>
      <w:tr>
        <w:trPr>
          <w:tblHeader/>
        </w:trP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Divisão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Acento-assinatura</w:t>
            </w:r>
          </w:p>
        </w:tc>
        <w:tc>
          <w:tcPr>
            <w:tcW w:type="dxa" w:w="3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AZLO Health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0AFCB"/>
                <w:sz w:val="19"/>
                <w:szCs w:val="19"/>
              </w:rPr>
              <w:t xml:space="preserve">Arc Teal</w:t>
            </w:r>
          </w:p>
        </w:tc>
        <w:tc>
          <w:tcPr>
            <w:tcW w:type="dxa" w:w="3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#00AFCB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AZLO Education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A5E9C"/>
                <w:sz w:val="19"/>
                <w:szCs w:val="19"/>
              </w:rPr>
              <w:t xml:space="preserve">Zenith Blue</w:t>
            </w:r>
          </w:p>
        </w:tc>
        <w:tc>
          <w:tcPr>
            <w:tcW w:type="dxa" w:w="3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#0A5E9C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AZLO Science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52B57"/>
                <w:sz w:val="19"/>
                <w:szCs w:val="19"/>
              </w:rPr>
              <w:t xml:space="preserve">Deep Navy</w:t>
            </w:r>
          </w:p>
        </w:tc>
        <w:tc>
          <w:tcPr>
            <w:tcW w:type="dxa" w:w="3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#052B57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AZLO Labs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1FA9BD"/>
                <w:sz w:val="19"/>
                <w:szCs w:val="19"/>
              </w:rPr>
              <w:t xml:space="preserve">Vital Cyan</w:t>
            </w:r>
          </w:p>
        </w:tc>
        <w:tc>
          <w:tcPr>
            <w:tcW w:type="dxa" w:w="3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#35D3E6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BF6E3" w:sz="1"/>
          <w:left w:val="single" w:color="8A6D00" w:sz="24"/>
          <w:bottom w:val="single" w:color="FBF6E3" w:sz="1"/>
          <w:right w:val="single" w:color="FBF6E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Atenção especial — AZLO Science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Como o acento de Science é o mesmo Deep Navy do “AZLO”, é o único caso em que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não há contraste de cor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 entre marca-mãe e nome da divisão. Resolver com contraste de peso (“AZLO” Bold, “Science” Regular) e, se necessário, leve variação de opacidade (“Science” a 85% de opacidade do Navy).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06 · ARQUIVOS E FORMATOS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38"/>
          <w:szCs w:val="38"/>
        </w:rPr>
        <w:t xml:space="preserve">Checklist de entrega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Lista de arquivos esperados na entrega final, organizados por uso.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60"/>
        <w:gridCol w:w="2900"/>
      </w:tblGrid>
      <w:tr>
        <w:trPr>
          <w:tblHeader/>
        </w:trP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4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Arquivos</w:t>
            </w:r>
          </w:p>
        </w:tc>
        <w:tc>
          <w:tcPr>
            <w:tcW w:type="dxa" w:w="2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</w:tr>
      <w:t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Fonte editável</w:t>
            </w:r>
          </w:p>
        </w:tc>
        <w:tc>
          <w:tcPr>
            <w:tcW w:type="dxa" w:w="4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Composição completa de todos os lockups, camadas nomeadas</w:t>
            </w:r>
          </w:p>
        </w:tc>
        <w:tc>
          <w:tcPr>
            <w:tcW w:type="dxa" w:w="2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.ai ou .fig</w:t>
            </w:r>
          </w:p>
        </w:tc>
      </w:tr>
      <w:t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Assinatura completa</w:t>
            </w:r>
          </w:p>
        </w:tc>
        <w:tc>
          <w:tcPr>
            <w:tcW w:type="dxa" w:w="4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Positiva, negativa, monocromática</w:t>
            </w:r>
          </w:p>
        </w:tc>
        <w:tc>
          <w:tcPr>
            <w:tcW w:type="dxa" w:w="2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.svg + .png (transparente, @1x/@2x/@3x)</w:t>
            </w:r>
          </w:p>
        </w:tc>
      </w:tr>
      <w:t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Símbolo isolado</w:t>
            </w:r>
          </w:p>
        </w:tc>
        <w:tc>
          <w:tcPr>
            <w:tcW w:type="dxa" w:w="4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Positivo, negativo, monocromático</w:t>
            </w:r>
          </w:p>
        </w:tc>
        <w:tc>
          <w:tcPr>
            <w:tcW w:type="dxa" w:w="2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.svg + .png</w:t>
            </w:r>
          </w:p>
        </w:tc>
      </w:tr>
      <w:t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Favicon</w:t>
            </w:r>
          </w:p>
        </w:tc>
        <w:tc>
          <w:tcPr>
            <w:tcW w:type="dxa" w:w="4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Recorte do símbolo, otimizado para tamanhos pequenos</w:t>
            </w:r>
          </w:p>
        </w:tc>
        <w:tc>
          <w:tcPr>
            <w:tcW w:type="dxa" w:w="2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.ico + .png (16/32/180/512 px)</w:t>
            </w:r>
          </w:p>
        </w:tc>
      </w:tr>
      <w:t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Lockups de divisão (4x)</w:t>
            </w:r>
          </w:p>
        </w:tc>
        <w:tc>
          <w:tcPr>
            <w:tcW w:type="dxa" w:w="4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Health, Education, Science, Labs — cada um em positivo e negativo</w:t>
            </w:r>
          </w:p>
        </w:tc>
        <w:tc>
          <w:tcPr>
            <w:tcW w:type="dxa" w:w="2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.svg + .png</w:t>
            </w:r>
          </w:p>
        </w:tc>
      </w:tr>
      <w:t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Wordmark isolada</w:t>
            </w:r>
          </w:p>
        </w:tc>
        <w:tc>
          <w:tcPr>
            <w:tcW w:type="dxa" w:w="4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“AZLO” sem símbolo, para usos horizontais estreitos</w:t>
            </w:r>
          </w:p>
        </w:tc>
        <w:tc>
          <w:tcPr>
            <w:tcW w:type="dxa" w:w="2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.svg + .png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F2FAFC" w:sz="1"/>
          <w:left w:val="single" w:color="5B6770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Nomenclatura de arquivos sugerida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52B57"/>
                <w:sz w:val="21"/>
                <w:szCs w:val="21"/>
              </w:rPr>
              <w:t xml:space="preserve">azlo_assinatura_positiva.svg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52B57"/>
                <w:sz w:val="21"/>
                <w:szCs w:val="21"/>
              </w:rPr>
              <w:t xml:space="preserve">azlo_simbolo_negativo.png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52B57"/>
                <w:sz w:val="21"/>
                <w:szCs w:val="21"/>
              </w:rPr>
              <w:t xml:space="preserve">azlo_labs_lockup_positivo.svg</w:t>
            </w:r>
          </w:p>
        </w:tc>
      </w:tr>
    </w:tbl>
    <w:p>
      <w:r>
        <w:br w:type="page"/>
      </w:r>
    </w:p>
    <w:p>
      <w:pPr>
        <w:spacing w:after="0" w:before="1800"/>
      </w:pPr>
      <w:r>
        <w:rPr>
          <w:sz w:val="2"/>
          <w:szCs w:val="2"/>
        </w:rPr>
        <w:t xml:space="preserve"/>
      </w:r>
    </w:p>
    <w:p>
      <w:pPr>
        <w:pBdr>
          <w:bottom w:val="single" w:color="00AFCB" w:sz="18" w:space="8"/>
        </w:pBdr>
        <w:spacing w:after="200"/>
      </w:pPr>
      <w:r>
        <w:t xml:space="preserve"/>
      </w:r>
    </w:p>
    <w:p>
      <w:pPr>
        <w:spacing w:after="200"/>
        <w:jc w:val="left"/>
      </w:pPr>
      <w:r>
        <w:drawing>
          <wp:inline distT="0" distB="0" distL="0" distR="0">
            <wp:extent cx="1333500" cy="1466850"/>
            <wp:effectExtent t="0" r="0" b="0" l="0"/>
            <wp:docPr id="1" name="AZLO símbolo" descr="Monograma A/Z AZLO" title="AZLO símbo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Sora" w:cs="Sora" w:eastAsia="Sora" w:hAnsi="Sora"/>
          <w:b/>
          <w:bCs/>
          <w:color w:val="052B57"/>
          <w:sz w:val="28"/>
          <w:szCs w:val="28"/>
        </w:rPr>
        <w:t xml:space="preserve">Vetorizar é resolver, não reinventar.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5B6770"/>
          <w:sz w:val="21"/>
          <w:szCs w:val="21"/>
        </w:rPr>
        <w:t xml:space="preserve">O conceito está certo. Esta especificação existe para que a execução alcance o mesmo nível.</w:t>
      </w:r>
    </w:p>
    <w:p>
      <w:pPr>
        <w:pBdr>
          <w:top w:val="single" w:color="D5E2EC" w:sz="6" w:space="6"/>
        </w:pBdr>
        <w:spacing w:before="200"/>
      </w:pPr>
      <w:r>
        <w:rPr>
          <w:rFonts w:ascii="Inter" w:cs="Inter" w:eastAsia="Inter" w:hAnsi="Inter"/>
          <w:color w:val="5B6770"/>
          <w:sz w:val="17"/>
          <w:szCs w:val="17"/>
        </w:rPr>
        <w:t xml:space="preserve">Especificação de Vetorização v1.0  ·  Complementar ao Brand Book AZLO v3.0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2EC" w:sz="4" w:space="6"/>
      </w:pBdr>
      <w:tabs>
        <w:tab w:val="right" w:pos="9360"/>
      </w:tabs>
    </w:pPr>
    <w:r>
      <w:rPr>
        <w:rFonts w:ascii="Inter" w:cs="Inter" w:eastAsia="Inter" w:hAnsi="Inter"/>
        <w:color w:val="5B6770"/>
        <w:sz w:val="15"/>
        <w:szCs w:val="15"/>
      </w:rPr>
      <w:t xml:space="preserve">AZLO — Especificação de Vetorização</w:t>
    </w:r>
    <w:r>
      <w:rPr>
        <w:sz w:val="15"/>
        <w:szCs w:val="15"/>
      </w:rPr>
      <w:t xml:space="preserve">	</w:t>
    </w:r>
    <w:r>
      <w:rPr>
        <w:rFonts w:ascii="Inter" w:cs="Inter" w:eastAsia="Inter" w:hAnsi="Inter"/>
        <w:color w:val="5B6770"/>
        <w:sz w:val="15"/>
        <w:szCs w:val="15"/>
      </w:rPr>
      <w:t xml:space="preserve">v1.0  ·  </w:t>
    </w:r>
    <w:r>
      <w:rPr>
        <w:rFonts w:ascii="Inter" w:cs="Inter" w:eastAsia="Inter" w:hAnsi="Inter"/>
        <w:b/>
        <w:bCs/>
        <w:color w:val="052B5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00AFC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  <w:rPr>
        <w:b/>
        <w:bCs/>
        <w:color w:val="00AFC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  <w:rPr>
        <w:b/>
        <w:bCs/>
        <w:color w:val="00AFC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60"/>
      <w:outlineLvl w:val="0"/>
    </w:pPr>
    <w:rPr>
      <w:rFonts w:ascii="Sora" w:cs="Sora" w:eastAsia="Sora" w:hAnsi="Sora"/>
      <w:b/>
      <w:bCs/>
      <w:color w:val="052B57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Sora" w:cs="Sora" w:eastAsia="Sora" w:hAnsi="Sora"/>
      <w:b/>
      <w:bCs/>
      <w:color w:val="052B5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6035d031dfd0ba284902739f0503819c9c1bbb0.png"/><Relationship Id="rId9" Type="http://schemas.openxmlformats.org/officeDocument/2006/relationships/image" Target="media/0a2e103f4382d4f602016272c7a6bd6d6710fe2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AZLO — Especificação de Vetorização</dc:title>
  <dc:creator>AZLO</dc:creator>
  <cp:lastModifiedBy>Un-named</cp:lastModifiedBy>
  <cp:revision>1</cp:revision>
  <dcterms:created xsi:type="dcterms:W3CDTF">2026-06-29T13:28:08.422Z</dcterms:created>
  <dcterms:modified xsi:type="dcterms:W3CDTF">2026-06-29T13:28:08.423Z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