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</w:pPr>
      <w:r>
        <w:t xml:space="preserve"/>
      </w:r>
    </w:p>
    <w:p>
      <w:pPr>
        <w:pBdr>
          <w:bottom w:val="single" w:color="00AFCB" w:sz="4" w:space="10"/>
        </w:pBdr>
        <w:spacing w:after="240"/>
      </w:pPr>
      <w:r>
        <w:t xml:space="preserve"/>
      </w:r>
    </w:p>
    <w:p>
      <w:pPr>
        <w:spacing w:after="140"/>
        <w:jc w:val="left"/>
      </w:pPr>
      <w:r>
        <w:drawing>
          <wp:inline distT="0" distB="0" distL="0" distR="0">
            <wp:extent cx="2857500" cy="1181100"/>
            <wp:effectExtent t="0" r="0" b="0" l="0"/>
            <wp:docPr id="1" name="AZLO" descr="Logo AZLO" title="AZ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Fraunces" w:cs="Fraunces" w:eastAsia="Fraunces" w:hAnsi="Fraunces"/>
          <w:b/>
          <w:bCs/>
          <w:color w:val="052B57"/>
          <w:sz w:val="42"/>
          <w:szCs w:val="42"/>
        </w:rPr>
        <w:t xml:space="preserve">Plano de Publicação — MVP de 2 Semanas</w:t>
      </w:r>
    </w:p>
    <w:p>
      <w:pPr>
        <w:spacing w:after="200"/>
      </w:pPr>
      <w:r>
        <w:rPr>
          <w:rFonts w:ascii="Hanken Grotesk" w:cs="Hanken Grotesk" w:eastAsia="Hanken Grotesk" w:hAnsi="Hanken Grotesk"/>
          <w:i/>
          <w:iCs/>
          <w:color w:val="5B6770"/>
          <w:sz w:val="23"/>
          <w:szCs w:val="23"/>
        </w:rPr>
        <w:t xml:space="preserve">Parar de documentar a marca. Começar a testá-la.</w:t>
      </w:r>
    </w:p>
    <w:p>
      <w:pPr>
        <w:pBdr>
          <w:top w:val="single" w:color="D5E2EC" w:sz="6" w:space="6"/>
        </w:pBdr>
        <w:spacing w:before="200"/>
      </w:pPr>
      <w:r>
        <w:rPr>
          <w:rFonts w:ascii="Hanken Grotesk" w:cs="Hanken Grotesk" w:eastAsia="Hanken Grotesk" w:hAnsi="Hanken Grotesk"/>
          <w:b/>
          <w:bCs/>
          <w:color w:val="00AFCB"/>
          <w:spacing w:val="20"/>
          <w:sz w:val="17"/>
          <w:szCs w:val="17"/>
        </w:rPr>
        <w:t xml:space="preserve">DOCUMENTO COMPLEMENTAR AO BRAND BOOK V4.0   ·   FOCO: AZLO HEALTH (TIER 1)</w:t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0AFCB"/>
          <w:spacing w:val="30"/>
          <w:sz w:val="17"/>
          <w:szCs w:val="17"/>
        </w:rPr>
        <w:t xml:space="preserve">POR QUE ESTE DOCUMENTO EXISTE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38"/>
          <w:szCs w:val="38"/>
        </w:rPr>
        <w:t xml:space="preserve">O risco que a documentação não resolve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Existem quatro versões de brand book, uma especificação de vetorização, e zero peças públicas. Isso é um padrão reconhecível: documentar a marca é mais confortável do que descobrir se alguém quer o que ela vende. Brand book resolve clareza interna. Não resolve a pergunta que importa — e essa pergunta só se responde publicando.</w:t>
      </w:r>
    </w:p>
    <w:p>
      <w:pPr>
        <w:pBdr>
          <w:bottom w:val="single" w:color="D5E2EC" w:sz="4" w:space="10"/>
        </w:pBdr>
        <w:spacing w:after="200"/>
      </w:pPr>
      <w:r>
        <w:t xml:space="preserve"/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5"/>
          <w:szCs w:val="25"/>
        </w:rPr>
        <w:t xml:space="preserve">A pergunta que este plano responde</w:t>
      </w:r>
    </w:p>
    <w:p>
      <w:pPr>
        <w:spacing w:after="120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Não “a marca está bem definida?” — já está. A pergunta é: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alguém reage a ela quando ela sai do documento e vai para o feed, a inbox, a tela de alguém real?</w:t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0AFCB"/>
          <w:spacing w:val="30"/>
          <w:sz w:val="17"/>
          <w:szCs w:val="17"/>
        </w:rPr>
        <w:t xml:space="preserve">ESCOPO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38"/>
          <w:szCs w:val="38"/>
        </w:rPr>
        <w:t xml:space="preserve">O que entra e o que não entra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Escopo deliberadamente pequeno. O ponto não é produzir muito — é publicar algo real rápido o suficiente para gerar sinal.</w:t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5"/>
          <w:szCs w:val="25"/>
        </w:rPr>
        <w:t xml:space="preserve">Dentro do escopo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Apenas AZLO Health (Tier 1).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 Labs, Education e Science não entram nesta rodada.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color w:val="111827"/>
          <w:sz w:val="21"/>
          <w:szCs w:val="21"/>
        </w:rPr>
        <w:t xml:space="preserve">Uma peça pública: post no @dr.lorencato OU landing page de uma página.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color w:val="111827"/>
          <w:sz w:val="21"/>
          <w:szCs w:val="21"/>
        </w:rPr>
        <w:t xml:space="preserve">Logo atual (não vetorizado) — usar como está. Vetorização não bloqueia publicação.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color w:val="111827"/>
          <w:sz w:val="21"/>
          <w:szCs w:val="21"/>
        </w:rPr>
        <w:t xml:space="preserve">Métrica simples de resposta: salvos, comentários, DMs, ou cliques — não vaidade (curtidas).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5"/>
          <w:szCs w:val="25"/>
        </w:rPr>
        <w:t xml:space="preserve">Fora do escopo — explicitamente adiado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Vetorização do logo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 — fila, mas não trava o MVP.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Lockups de divisão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 — nenhuma divisão lança lockup nesta rodada.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Qualquer novo documento de marca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 — moratória até este plano gerar um resultado.</w:t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0AFCB"/>
          <w:spacing w:val="30"/>
          <w:sz w:val="17"/>
          <w:szCs w:val="17"/>
        </w:rPr>
        <w:t xml:space="preserve">LINHA DO TEMPO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38"/>
          <w:szCs w:val="38"/>
        </w:rPr>
        <w:t xml:space="preserve">Duas semanas, dia a 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3500"/>
      </w:tblGrid>
      <w:tr>
        <w:trPr>
          <w:tblHeader/>
        </w:trPr>
        <w:tc>
          <w:tcPr>
            <w:tcW w:type="dxa" w:w="1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43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3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Critério de “pronto”</w:t>
            </w:r>
          </w:p>
        </w:tc>
      </w:tr>
      <w:tr>
        <w:tc>
          <w:tcPr>
            <w:tcW w:type="dxa" w:w="1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Dias 1–2</w:t>
            </w:r>
          </w:p>
        </w:tc>
        <w:tc>
          <w:tcPr>
            <w:tcW w:type="dxa" w:w="43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Escolher o formato: post único vs. landing page de 1 página.</w:t>
            </w:r>
          </w:p>
        </w:tc>
        <w:tc>
          <w:tcPr>
            <w:tcW w:type="dxa" w:w="3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Decisão tomada — ver página seguinte para critério de escolha.</w:t>
            </w:r>
          </w:p>
        </w:tc>
      </w:tr>
      <w:tr>
        <w:tc>
          <w:tcPr>
            <w:tcW w:type="dxa" w:w="1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Dias 3–5</w:t>
            </w:r>
          </w:p>
        </w:tc>
        <w:tc>
          <w:tcPr>
            <w:tcW w:type="dxa" w:w="43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Escrever o conteúdo: uma ideia, um protocolo ou um achado clínico real, na voz da AZLO.</w:t>
            </w:r>
          </w:p>
        </w:tc>
        <w:tc>
          <w:tcPr>
            <w:tcW w:type="dxa" w:w="3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Texto revisado, sem jargão de marca — fala direto com o paciente/leitor.</w:t>
            </w:r>
          </w:p>
        </w:tc>
      </w:tr>
      <w:tr>
        <w:tc>
          <w:tcPr>
            <w:tcW w:type="dxa" w:w="1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Dias 6–7</w:t>
            </w:r>
          </w:p>
        </w:tc>
        <w:tc>
          <w:tcPr>
            <w:tcW w:type="dxa" w:w="43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Montar a peça com a identidade atual (logo como está).</w:t>
            </w:r>
          </w:p>
        </w:tc>
        <w:tc>
          <w:tcPr>
            <w:tcW w:type="dxa" w:w="3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Peça visualmente reconhecível como AZLO, mesmo com o logo não-vetorizado.</w:t>
            </w:r>
          </w:p>
        </w:tc>
      </w:tr>
      <w:tr>
        <w:tc>
          <w:tcPr>
            <w:tcW w:type="dxa" w:w="1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Dia 8</w:t>
            </w:r>
          </w:p>
        </w:tc>
        <w:tc>
          <w:tcPr>
            <w:tcW w:type="dxa" w:w="43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Publicar.</w:t>
            </w:r>
          </w:p>
        </w:tc>
        <w:tc>
          <w:tcPr>
            <w:tcW w:type="dxa" w:w="3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Está no ar, com o link ou print salvo.</w:t>
            </w:r>
          </w:p>
        </w:tc>
      </w:tr>
      <w:tr>
        <w:tc>
          <w:tcPr>
            <w:tcW w:type="dxa" w:w="1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Dias 9–14</w:t>
            </w:r>
          </w:p>
        </w:tc>
        <w:tc>
          <w:tcPr>
            <w:tcW w:type="dxa" w:w="43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Observar reação. Não publicar nada novo.</w:t>
            </w:r>
          </w:p>
        </w:tc>
        <w:tc>
          <w:tcPr>
            <w:tcW w:type="dxa" w:w="3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Métricas de resposta coletadas (ver página de medição).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5E2EC" w:sz="4" w:space="10"/>
        </w:pBdr>
        <w:spacing w:after="200"/>
      </w:pPr>
      <w:r>
        <w:t xml:space="preserve"/>
      </w:r>
    </w:p>
    <w:p>
      <w:pPr>
        <w:spacing w:after="120"/>
      </w:pP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Regra dura: 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se o dia 8 passar sem nada publicado, o prazo não se estende — o escopo encolhe. Prefira publicar algo mais simples do que adiar.</w:t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0AFCB"/>
          <w:spacing w:val="30"/>
          <w:sz w:val="17"/>
          <w:szCs w:val="17"/>
        </w:rPr>
        <w:t xml:space="preserve">ESCOLHA DE FORMATO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38"/>
          <w:szCs w:val="38"/>
        </w:rPr>
        <w:t xml:space="preserve">Post vs. landing page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Os dois validam a mesma coisa. A diferença é custo de produção e tipo de sinal que cada um gera.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5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Post (@dr.lorencato)</w:t>
            </w:r>
          </w:p>
        </w:tc>
        <w:tc>
          <w:tcPr>
            <w:tcW w:type="dxa" w:w="35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Landing page (1 página)</w:t>
            </w:r>
          </w:p>
        </w:tc>
      </w:tr>
      <w:tr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Custo de produção</w:t>
            </w:r>
          </w:p>
        </w:tc>
        <w:tc>
          <w:tcPr>
            <w:tcW w:type="dxa" w:w="35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Baixo — texto + 1 imagem.</w:t>
            </w:r>
          </w:p>
        </w:tc>
        <w:tc>
          <w:tcPr>
            <w:tcW w:type="dxa" w:w="35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Médio — precisa de hospedagem e estrutura mínima.</w:t>
            </w:r>
          </w:p>
        </w:tc>
      </w:tr>
      <w:tr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Velocidade de sinal</w:t>
            </w:r>
          </w:p>
        </w:tc>
        <w:tc>
          <w:tcPr>
            <w:tcW w:type="dxa" w:w="35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Rápida — horas.</w:t>
            </w:r>
          </w:p>
        </w:tc>
        <w:tc>
          <w:tcPr>
            <w:tcW w:type="dxa" w:w="35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Mais lenta — depende de tráfego direcionado.</w:t>
            </w:r>
          </w:p>
        </w:tc>
      </w:tr>
      <w:tr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Tipo de sinal</w:t>
            </w:r>
          </w:p>
        </w:tc>
        <w:tc>
          <w:tcPr>
            <w:tcW w:type="dxa" w:w="35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Qualitativo: comentários, DMs, salvos.</w:t>
            </w:r>
          </w:p>
        </w:tc>
        <w:tc>
          <w:tcPr>
            <w:tcW w:type="dxa" w:w="35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Quantitativo: cliques, tempo na página, CTA.</w:t>
            </w:r>
          </w:p>
        </w:tc>
      </w:tr>
      <w:tr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Risco se falhar</w:t>
            </w:r>
          </w:p>
        </w:tc>
        <w:tc>
          <w:tcPr>
            <w:tcW w:type="dxa" w:w="35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Baixo — some no feed.</w:t>
            </w:r>
          </w:p>
        </w:tc>
        <w:tc>
          <w:tcPr>
            <w:tcW w:type="dxa" w:w="35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Baixo, mas exige mais esforço para descartar.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Recomendação: 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comece pelo post. É o caminho de menor fricção para testar se a marca, fora do papel, gera alguma reação real. A landing page é a etapa seguinte, não a primeira.</w:t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0AFCB"/>
          <w:spacing w:val="30"/>
          <w:sz w:val="17"/>
          <w:szCs w:val="17"/>
        </w:rPr>
        <w:t xml:space="preserve">MEDIÇÃO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38"/>
          <w:szCs w:val="38"/>
        </w:rPr>
        <w:t xml:space="preserve">O que contar como sinal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Sem vaidade. O objetivo é saber se vale investir mais na marca, não se sentir bem com números.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60"/>
        <w:gridCol w:w="2600"/>
      </w:tblGrid>
      <w:tr>
        <w:trPr>
          <w:tblHeader/>
        </w:trP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Sinal</w:t>
            </w:r>
          </w:p>
        </w:tc>
        <w:tc>
          <w:tcPr>
            <w:tcW w:type="dxa" w:w="4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O que significa</w:t>
            </w:r>
          </w:p>
        </w:tc>
        <w:tc>
          <w:tcPr>
            <w:tcW w:type="dxa" w:w="2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Conta como resposta real?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Curtidas</w:t>
            </w:r>
          </w:p>
        </w:tc>
        <w:tc>
          <w:tcPr>
            <w:tcW w:type="dxa" w:w="4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Alcance passivo.</w:t>
            </w:r>
          </w:p>
        </w:tc>
        <w:tc>
          <w:tcPr>
            <w:tcW w:type="dxa" w:w="2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C0392B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Comentários com pergunta ou opinião</w:t>
            </w:r>
          </w:p>
        </w:tc>
        <w:tc>
          <w:tcPr>
            <w:tcW w:type="dxa" w:w="4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Engajamento ativo com o conteúdo.</w:t>
            </w:r>
          </w:p>
        </w:tc>
        <w:tc>
          <w:tcPr>
            <w:tcW w:type="dxa" w:w="2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1A6B2E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Salvos</w:t>
            </w:r>
          </w:p>
        </w:tc>
        <w:tc>
          <w:tcPr>
            <w:tcW w:type="dxa" w:w="4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Intenção de voltar — sinal de utilidade percebida.</w:t>
            </w:r>
          </w:p>
        </w:tc>
        <w:tc>
          <w:tcPr>
            <w:tcW w:type="dxa" w:w="2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1A6B2E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DMs perguntando mais</w:t>
            </w:r>
          </w:p>
        </w:tc>
        <w:tc>
          <w:tcPr>
            <w:tcW w:type="dxa" w:w="4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O sinal mais forte possível.</w:t>
            </w:r>
          </w:p>
        </w:tc>
        <w:tc>
          <w:tcPr>
            <w:tcW w:type="dxa" w:w="2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1A6B2E"/>
                <w:sz w:val="19"/>
                <w:szCs w:val="19"/>
              </w:rPr>
              <w:t xml:space="preserve">Sim, com peso extra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Compartilhamentos</w:t>
            </w:r>
          </w:p>
        </w:tc>
        <w:tc>
          <w:tcPr>
            <w:tcW w:type="dxa" w:w="4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Terceiros endossando a marca.</w:t>
            </w:r>
          </w:p>
        </w:tc>
        <w:tc>
          <w:tcPr>
            <w:tcW w:type="dxa" w:w="2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1A6B2E"/>
                <w:sz w:val="19"/>
                <w:szCs w:val="19"/>
              </w:rPr>
              <w:t xml:space="preserve">Sim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5"/>
          <w:szCs w:val="25"/>
        </w:rPr>
        <w:t xml:space="preserve">Critério de decisão ao final dos 14 dias</w:t>
      </w:r>
    </w:p>
    <w:p>
      <w:pPr>
        <w:spacing w:after="50" w:before="50"/>
      </w:pPr>
      <w:r>
        <w:rPr>
          <w:color w:val="00AFCB"/>
          <w:sz w:val="22"/>
          <w:szCs w:val="22"/>
        </w:rPr>
        <w:t xml:space="preserve">☐  </w:t>
      </w: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Houve ao menos um sinal qualitativo real (comentário substantivo, DM, ou salvo acima do normal do perfil) → seguir para a próxima peça, mesmo formato.</w:t>
      </w:r>
    </w:p>
    <w:p>
      <w:pPr>
        <w:spacing w:after="50" w:before="50"/>
      </w:pPr>
      <w:r>
        <w:rPr>
          <w:color w:val="00AFCB"/>
          <w:sz w:val="22"/>
          <w:szCs w:val="22"/>
        </w:rPr>
        <w:t xml:space="preserve">☐  </w:t>
      </w: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Zero sinal qualitativo → revisar a mensagem antes de revisar a marca. O problema provavelmente é o conteúdo, não o logo.</w:t>
      </w:r>
    </w:p>
    <w:p>
      <w:pPr>
        <w:spacing w:after="50" w:before="50"/>
      </w:pPr>
      <w:r>
        <w:rPr>
          <w:color w:val="00AFCB"/>
          <w:sz w:val="22"/>
          <w:szCs w:val="22"/>
        </w:rPr>
        <w:t xml:space="preserve">☐  </w:t>
      </w: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Sinal forte (múltiplos DMs, pedidos de mais conteúdo) → considerar acelerar a vetorização do logo, já com validação de demanda real.</w:t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0AFCB"/>
          <w:spacing w:val="30"/>
          <w:sz w:val="17"/>
          <w:szCs w:val="17"/>
        </w:rPr>
        <w:t xml:space="preserve">CHECKLIST DE EXECUÇÃO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38"/>
          <w:szCs w:val="38"/>
        </w:rPr>
        <w:t xml:space="preserve">Antes de fechar este plano</w:t>
      </w:r>
    </w:p>
    <w:p>
      <w:pPr>
        <w:spacing w:after="50" w:before="50"/>
      </w:pPr>
      <w:r>
        <w:rPr>
          <w:color w:val="00AFCB"/>
          <w:sz w:val="22"/>
          <w:szCs w:val="22"/>
        </w:rPr>
        <w:t xml:space="preserve">☐  </w:t>
      </w: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Formato escolhido (post ou landing page).</w:t>
      </w:r>
    </w:p>
    <w:p>
      <w:pPr>
        <w:spacing w:after="50" w:before="50"/>
      </w:pPr>
      <w:r>
        <w:rPr>
          <w:color w:val="00AFCB"/>
          <w:sz w:val="22"/>
          <w:szCs w:val="22"/>
        </w:rPr>
        <w:t xml:space="preserve">☐  </w:t>
      </w: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Conteúdo escrito e revisado — uma ideia clínica real, não um teaser da marca.</w:t>
      </w:r>
    </w:p>
    <w:p>
      <w:pPr>
        <w:spacing w:after="50" w:before="50"/>
      </w:pPr>
      <w:r>
        <w:rPr>
          <w:color w:val="00AFCB"/>
          <w:sz w:val="22"/>
          <w:szCs w:val="22"/>
        </w:rPr>
        <w:t xml:space="preserve">☐  </w:t>
      </w: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Peça publicada dentro do prazo de 8 dias.</w:t>
      </w:r>
    </w:p>
    <w:p>
      <w:pPr>
        <w:spacing w:after="50" w:before="50"/>
      </w:pPr>
      <w:r>
        <w:rPr>
          <w:color w:val="00AFCB"/>
          <w:sz w:val="22"/>
          <w:szCs w:val="22"/>
        </w:rPr>
        <w:t xml:space="preserve">☐  </w:t>
      </w: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Sinais coletados nos dias 9–14, sem nova publicação no meio do caminho.</w:t>
      </w:r>
    </w:p>
    <w:p>
      <w:pPr>
        <w:spacing w:after="50" w:before="50"/>
      </w:pPr>
      <w:r>
        <w:rPr>
          <w:color w:val="00AFCB"/>
          <w:sz w:val="22"/>
          <w:szCs w:val="22"/>
        </w:rPr>
        <w:t xml:space="preserve">☐  </w:t>
      </w: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Decisão tomada com base no critério de sinal — não em sensação.</w:t>
      </w:r>
    </w:p>
    <w:p>
      <w:pPr>
        <w:spacing w:after="50" w:before="50"/>
      </w:pPr>
      <w:r>
        <w:rPr>
          <w:color w:val="00AFCB"/>
          <w:sz w:val="22"/>
          <w:szCs w:val="22"/>
        </w:rPr>
        <w:t xml:space="preserve">☐  </w:t>
      </w: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Moratória de novos documentos de marca respeitada até aqui.</w:t>
      </w:r>
    </w:p>
    <w:p>
      <w:pPr>
        <w:spacing w:after="160"/>
      </w:pPr>
      <w:r>
        <w:t xml:space="preserve"/>
      </w:r>
    </w:p>
    <w:p>
      <w:pPr>
        <w:pBdr>
          <w:bottom w:val="single" w:color="00AFCB" w:sz="4" w:space="10"/>
        </w:pBdr>
        <w:spacing w:after="200"/>
      </w:pPr>
      <w:r>
        <w:t xml:space="preserve"/>
      </w:r>
    </w:p>
    <w:p>
      <w:pPr>
        <w:spacing w:after="0"/>
      </w:pP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Depois deste ciclo: 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se o sinal for real, o próximo passo é a vetorização do logo (especificação já existe) — agora apoiada em evidência de que vale o investimento, não em suposição.</w:t>
      </w:r>
    </w:p>
    <w:p>
      <w:pPr>
        <w:spacing w:before="1600"/>
      </w:pPr>
      <w:r>
        <w:t xml:space="preserve"/>
      </w:r>
    </w:p>
    <w:p>
      <w:pPr>
        <w:pBdr>
          <w:bottom w:val="single" w:color="00AFCB" w:sz="4" w:space="10"/>
        </w:pBdr>
        <w:spacing w:after="200"/>
      </w:pPr>
      <w:r>
        <w:t xml:space="preserve"/>
      </w:r>
    </w:p>
    <w:p>
      <w:pPr>
        <w:spacing w:after="40"/>
      </w:pPr>
      <w:r>
        <w:rPr>
          <w:rFonts w:ascii="Fraunces" w:cs="Fraunces" w:eastAsia="Fraunces" w:hAnsi="Fraunces"/>
          <w:b/>
          <w:bCs/>
          <w:color w:val="052B57"/>
          <w:sz w:val="27"/>
          <w:szCs w:val="27"/>
        </w:rPr>
        <w:t xml:space="preserve">Publicar é a única pesquisa de mercado que conta.</w:t>
      </w:r>
    </w:p>
    <w:p>
      <w:pPr>
        <w:spacing w:after="200"/>
      </w:pPr>
      <w:r>
        <w:rPr>
          <w:rFonts w:ascii="Hanken Grotesk" w:cs="Hanken Grotesk" w:eastAsia="Hanken Grotesk" w:hAnsi="Hanken Grotesk"/>
          <w:i/>
          <w:iCs/>
          <w:color w:val="5B6770"/>
          <w:sz w:val="21"/>
          <w:szCs w:val="21"/>
        </w:rPr>
        <w:t xml:space="preserve">Tudo o mais é preparação.</w:t>
      </w:r>
    </w:p>
    <w:p>
      <w:pPr>
        <w:pBdr>
          <w:top w:val="single" w:color="D5E2EC" w:sz="6" w:space="6"/>
        </w:pBdr>
        <w:spacing w:before="200"/>
      </w:pPr>
      <w:r>
        <w:rPr>
          <w:rFonts w:ascii="Hanken Grotesk" w:cs="Hanken Grotesk" w:eastAsia="Hanken Grotesk" w:hAnsi="Hanken Grotesk"/>
          <w:color w:val="5B6770"/>
          <w:sz w:val="17"/>
          <w:szCs w:val="17"/>
        </w:rPr>
        <w:t xml:space="preserve">Plano de Publicação v1.0  ·  Complementar ao Brand Book AZLO v4.0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2EC" w:sz="4" w:space="6"/>
      </w:pBdr>
      <w:tabs>
        <w:tab w:val="right" w:pos="9360"/>
      </w:tabs>
    </w:pPr>
    <w:r>
      <w:rPr>
        <w:rFonts w:ascii="Hanken Grotesk" w:cs="Hanken Grotesk" w:eastAsia="Hanken Grotesk" w:hAnsi="Hanken Grotesk"/>
        <w:color w:val="5B6770"/>
        <w:sz w:val="15"/>
        <w:szCs w:val="15"/>
      </w:rPr>
      <w:t xml:space="preserve">AZLO — Plano de Publicação</w:t>
    </w:r>
    <w:r>
      <w:rPr>
        <w:sz w:val="15"/>
        <w:szCs w:val="15"/>
      </w:rPr>
      <w:t xml:space="preserve">	</w:t>
    </w:r>
    <w:r>
      <w:rPr>
        <w:rFonts w:ascii="Hanken Grotesk" w:cs="Hanken Grotesk" w:eastAsia="Hanken Grotesk" w:hAnsi="Hanken Grotesk"/>
        <w:color w:val="5B6770"/>
        <w:sz w:val="15"/>
        <w:szCs w:val="15"/>
      </w:rPr>
      <w:t xml:space="preserve">v1.0  ·  </w:t>
    </w:r>
    <w:r>
      <w:rPr>
        <w:rFonts w:ascii="Hanken Grotesk" w:cs="Hanken Grotesk" w:eastAsia="Hanken Grotesk" w:hAnsi="Hanken Grotesk"/>
        <w:b/>
        <w:bCs/>
        <w:color w:val="052B5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00AFC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anken Grotesk" w:cs="Hanken Grotesk" w:eastAsia="Hanken Grotesk" w:hAnsi="Hanken Grotesk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60"/>
      <w:outlineLvl w:val="0"/>
    </w:pPr>
    <w:rPr>
      <w:rFonts w:ascii="Fraunces" w:cs="Fraunces" w:eastAsia="Fraunces" w:hAnsi="Fraunces"/>
      <w:b/>
      <w:bCs/>
      <w:color w:val="052B57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Fraunces" w:cs="Fraunces" w:eastAsia="Fraunces" w:hAnsi="Fraunces"/>
      <w:b/>
      <w:bCs/>
      <w:color w:val="052B5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6035d031dfd0ba284902739f0503819c9c1bbb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AZLO — Plano de Publicação MVP</dc:title>
  <dc:creator>AZLO</dc:creator>
  <cp:lastModifiedBy>Un-named</cp:lastModifiedBy>
  <cp:revision>1</cp:revision>
  <dcterms:created xsi:type="dcterms:W3CDTF">2026-06-29T14:24:14.908Z</dcterms:created>
  <dcterms:modified xsi:type="dcterms:W3CDTF">2026-06-29T14:24:14.908Z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