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sz w:val="2"/>
          <w:szCs w:val="2"/>
        </w:rPr>
        <w:t xml:space="preserve"/>
      </w:r>
    </w:p>
    <w:p>
      <w:pPr>
        <w:pBdr>
          <w:bottom w:val="single" w:color="00AFCB" w:sz="18" w:space="8"/>
        </w:pBdr>
        <w:spacing w:after="240"/>
      </w:pPr>
      <w:r>
        <w:t xml:space="preserve"/>
      </w:r>
    </w:p>
    <w:p>
      <w:pPr>
        <w:spacing w:after="120"/>
        <w:jc w:val="left"/>
      </w:pPr>
      <w:r>
        <w:drawing>
          <wp:inline distT="0" distB="0" distL="0" distR="0">
            <wp:extent cx="3619500" cy="1495425"/>
            <wp:effectExtent t="0" r="0" b="0" l="0"/>
            <wp:docPr id="1" name="AZLO" descr="Logo AZLO assinatura completa" title="AZ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Sora" w:cs="Sora" w:eastAsia="Sora" w:hAnsi="Sora"/>
          <w:b/>
          <w:bCs/>
          <w:color w:val="052B57"/>
          <w:sz w:val="56"/>
          <w:szCs w:val="56"/>
        </w:rPr>
        <w:t xml:space="preserve">Brand Book</w:t>
      </w:r>
    </w:p>
    <w:p>
      <w:pPr>
        <w:spacing w:after="200"/>
      </w:pPr>
      <w:r>
        <w:rPr>
          <w:rFonts w:ascii="Inter" w:cs="Inter" w:eastAsia="Inter" w:hAnsi="Inter"/>
          <w:color w:val="5B6770"/>
          <w:sz w:val="24"/>
          <w:szCs w:val="24"/>
        </w:rPr>
        <w:t xml:space="preserve">Arquitetura de marca, posicionamento e sistema de expressão</w:t>
      </w:r>
    </w:p>
    <w:p>
      <w:pPr>
        <w:pBdr>
          <w:top w:val="single" w:color="D5E2EC" w:sz="6" w:space="6"/>
        </w:pBdr>
        <w:spacing w:after="0" w:before="200"/>
      </w:pPr>
      <w:r>
        <w:rPr>
          <w:rFonts w:ascii="Inter" w:cs="Inter" w:eastAsia="Inter" w:hAnsi="Inter"/>
          <w:b/>
          <w:bCs/>
          <w:color w:val="00AFCB"/>
          <w:spacing w:val="30"/>
          <w:sz w:val="18"/>
          <w:szCs w:val="18"/>
        </w:rPr>
        <w:t xml:space="preserve">VERSÃO 3.0</w:t>
      </w:r>
      <w:r>
        <w:rPr>
          <w:rFonts w:ascii="Inter" w:cs="Inter" w:eastAsia="Inter" w:hAnsi="Inter"/>
          <w:color w:val="5B6770"/>
          <w:spacing w:val="20"/>
          <w:sz w:val="18"/>
          <w:szCs w:val="18"/>
        </w:rPr>
        <w:t xml:space="preserve">   ·   MARCA-GUARDA-CHUVA   ·   SAÚDE · EDUCAÇÃO · CIÊNCIA · TECNOLOGIA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NOTA DE REVISÃO · V2.0 → V3.0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O que mudou nesta versão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v2.0 reconstruiu a estratégia: de empresa de life optimization para marca-guarda-chuva de quatro divisões. A v3.0 consolida essa base, incorpora o logo real e resolve as decisões que estavam em aberto — entregando um documento pronto para uso, não mais um rascunho em discussão.</w:t>
      </w:r>
    </w:p>
    <w:tbl>
      <w:tblPr>
        <w:tblW w:type="dxa" w:w="9360"/>
        <w:tblBorders>
          <w:top w:val="single" w:color="F2FAFC" w:sz="1"/>
          <w:left w:val="single" w:color="00AFCB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As três consolidações da v3.0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Logo incorporado.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 identidade real entra na capa, na página de logo e na anatomia simbólica — o documento agora mostra a marca, não a descreve no abstrato.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Tagline resolvida.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Adotada a direção que cobre as quatro frentes: </w:t>
            </w: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11827"/>
                <w:sz w:val="21"/>
                <w:szCs w:val="21"/>
              </w:rPr>
              <w:t xml:space="preserve">“Optimization as a method. Across everything that matters.”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As alternativas seguem registradas como reserva.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Refino de logo mapeado.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Dois ajustes técnicos do logo atual foram registrados como tarefa de vetorização — ver “Próximos ativos”.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Herança preservada da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Status na v3.0</w:t>
            </w:r>
          </w:p>
        </w:tc>
      </w:tr>
      <w:tr>
        <w:tc>
          <w:tcPr>
            <w:tcW w:type="dxa" w:w="3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Arquitetura de 4 divisões</w:t>
            </w:r>
          </w:p>
        </w:tc>
        <w:tc>
          <w:tcPr>
            <w:tcW w:type="dxa" w:w="6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Mantida: Health, Education, Science, Labs.</w:t>
            </w:r>
          </w:p>
        </w:tc>
      </w:tr>
      <w:tr>
        <w:tc>
          <w:tcPr>
            <w:tcW w:type="dxa" w:w="3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Sétimo pilar (alavancagem técnica)</w:t>
            </w:r>
          </w:p>
        </w:tc>
        <w:tc>
          <w:tcPr>
            <w:tcW w:type="dxa" w:w="6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Mantido — lastro da AZLO Labs.</w:t>
            </w:r>
          </w:p>
        </w:tc>
      </w:tr>
      <w:tr>
        <w:tc>
          <w:tcPr>
            <w:tcW w:type="dxa" w:w="3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Paleta, tipografia, regras de logo</w:t>
            </w:r>
          </w:p>
        </w:tc>
        <w:tc>
          <w:tcPr>
            <w:tcW w:type="dxa" w:w="6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Mantidas e agora ilustradas com o logo real.</w:t>
            </w:r>
          </w:p>
        </w:tc>
      </w:tr>
      <w:tr>
        <w:tc>
          <w:tcPr>
            <w:tcW w:type="dxa" w:w="3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Voz antimilagre e banco verbal</w:t>
            </w:r>
          </w:p>
        </w:tc>
        <w:tc>
          <w:tcPr>
            <w:tcW w:type="dxa" w:w="6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Mantidos integralmente.</w:t>
            </w:r>
          </w:p>
        </w:tc>
      </w:tr>
      <w:tr>
        <w:tc>
          <w:tcPr>
            <w:tcW w:type="dxa" w:w="3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Tagline</w:t>
            </w:r>
          </w:p>
        </w:tc>
        <w:tc>
          <w:tcPr>
            <w:tcW w:type="dxa" w:w="6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Antes: em decisão. Agora: definida (Opção B).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Observação sobre o logo atual: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o símbolo (triângulo, estrela-guia, arco) está sólido e fiel à estratégia. A wordmark gerada apresenta tracking irregular e um leve desalinhamento de baseline na palavra “LIFE” — artefatos comuns de geração por IA, que desaparecem na vetorização. Nada disso impede o uso imediato.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CONTEÚDO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Mapa do brand book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Este documento organiza a AZLO como uma marca-guarda-chuva premium e técnica, aplicável a canais digitais, produtos, consultorias, conteúdo médico-científico e ferramentas de tecnologia.</w:t>
      </w:r>
    </w:p>
    <w:p>
      <w:pPr>
        <w:spacing w:after="20" w:before="70"/>
      </w:pPr>
      <w:r>
        <w:rPr>
          <w:rFonts w:ascii="Sora" w:cs="Sora" w:eastAsia="Sora" w:hAnsi="Sora"/>
          <w:b/>
          <w:bCs/>
          <w:color w:val="00AFCB"/>
          <w:sz w:val="22"/>
          <w:szCs w:val="22"/>
        </w:rPr>
        <w:t xml:space="preserve">01 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Estratégia</w:t>
      </w:r>
    </w:p>
    <w:p>
      <w:pPr>
        <w:spacing w:after="40"/>
        <w:ind w:left="480"/>
      </w:pPr>
      <w:r>
        <w:rPr>
          <w:rFonts w:ascii="Inter" w:cs="Inter" w:eastAsia="Inter" w:hAnsi="Inter"/>
          <w:color w:val="5B6770"/>
          <w:sz w:val="19"/>
          <w:szCs w:val="19"/>
        </w:rPr>
        <w:t xml:space="preserve">Propósito, posicionamento, território e público.</w:t>
      </w:r>
    </w:p>
    <w:p>
      <w:pPr>
        <w:spacing w:after="20" w:before="70"/>
      </w:pPr>
      <w:r>
        <w:rPr>
          <w:rFonts w:ascii="Sora" w:cs="Sora" w:eastAsia="Sora" w:hAnsi="Sora"/>
          <w:b/>
          <w:bCs/>
          <w:color w:val="00AFCB"/>
          <w:sz w:val="22"/>
          <w:szCs w:val="22"/>
        </w:rPr>
        <w:t xml:space="preserve">02 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Arquitetura de marca</w:t>
      </w:r>
    </w:p>
    <w:p>
      <w:pPr>
        <w:spacing w:after="40"/>
        <w:ind w:left="480"/>
      </w:pPr>
      <w:r>
        <w:rPr>
          <w:rFonts w:ascii="Inter" w:cs="Inter" w:eastAsia="Inter" w:hAnsi="Inter"/>
          <w:color w:val="5B6770"/>
          <w:sz w:val="19"/>
          <w:szCs w:val="19"/>
        </w:rPr>
        <w:t xml:space="preserve">Marca-mãe, divisões e regras de relação.</w:t>
      </w:r>
    </w:p>
    <w:p>
      <w:pPr>
        <w:spacing w:after="20" w:before="70"/>
      </w:pPr>
      <w:r>
        <w:rPr>
          <w:rFonts w:ascii="Sora" w:cs="Sora" w:eastAsia="Sora" w:hAnsi="Sora"/>
          <w:b/>
          <w:bCs/>
          <w:color w:val="00AFCB"/>
          <w:sz w:val="22"/>
          <w:szCs w:val="22"/>
        </w:rPr>
        <w:t xml:space="preserve">03 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Identidade conceitual</w:t>
      </w:r>
    </w:p>
    <w:p>
      <w:pPr>
        <w:spacing w:after="40"/>
        <w:ind w:left="480"/>
      </w:pPr>
      <w:r>
        <w:rPr>
          <w:rFonts w:ascii="Inter" w:cs="Inter" w:eastAsia="Inter" w:hAnsi="Inter"/>
          <w:color w:val="5B6770"/>
          <w:sz w:val="19"/>
          <w:szCs w:val="19"/>
        </w:rPr>
        <w:t xml:space="preserve">Narrativa Alpha → Zenith, pilares e personalidade.</w:t>
      </w:r>
    </w:p>
    <w:p>
      <w:pPr>
        <w:spacing w:after="20" w:before="70"/>
      </w:pPr>
      <w:r>
        <w:rPr>
          <w:rFonts w:ascii="Sora" w:cs="Sora" w:eastAsia="Sora" w:hAnsi="Sora"/>
          <w:b/>
          <w:bCs/>
          <w:color w:val="00AFCB"/>
          <w:sz w:val="22"/>
          <w:szCs w:val="22"/>
        </w:rPr>
        <w:t xml:space="preserve">04 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Sistema visual</w:t>
      </w:r>
    </w:p>
    <w:p>
      <w:pPr>
        <w:spacing w:after="40"/>
        <w:ind w:left="480"/>
      </w:pPr>
      <w:r>
        <w:rPr>
          <w:rFonts w:ascii="Inter" w:cs="Inter" w:eastAsia="Inter" w:hAnsi="Inter"/>
          <w:color w:val="5B6770"/>
          <w:sz w:val="19"/>
          <w:szCs w:val="19"/>
        </w:rPr>
        <w:t xml:space="preserve">Logo, cores, tipografia, grid e imagens.</w:t>
      </w:r>
    </w:p>
    <w:p>
      <w:pPr>
        <w:spacing w:after="20" w:before="70"/>
      </w:pPr>
      <w:r>
        <w:rPr>
          <w:rFonts w:ascii="Sora" w:cs="Sora" w:eastAsia="Sora" w:hAnsi="Sora"/>
          <w:b/>
          <w:bCs/>
          <w:color w:val="00AFCB"/>
          <w:sz w:val="22"/>
          <w:szCs w:val="22"/>
        </w:rPr>
        <w:t xml:space="preserve">05 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Identidade verbal</w:t>
      </w:r>
    </w:p>
    <w:p>
      <w:pPr>
        <w:spacing w:after="40"/>
        <w:ind w:left="480"/>
      </w:pPr>
      <w:r>
        <w:rPr>
          <w:rFonts w:ascii="Inter" w:cs="Inter" w:eastAsia="Inter" w:hAnsi="Inter"/>
          <w:color w:val="5B6770"/>
          <w:sz w:val="19"/>
          <w:szCs w:val="19"/>
        </w:rPr>
        <w:t xml:space="preserve">Voz, taglines, mensagens e banco verbal.</w:t>
      </w:r>
    </w:p>
    <w:p>
      <w:pPr>
        <w:spacing w:after="20" w:before="70"/>
      </w:pPr>
      <w:r>
        <w:rPr>
          <w:rFonts w:ascii="Sora" w:cs="Sora" w:eastAsia="Sora" w:hAnsi="Sora"/>
          <w:b/>
          <w:bCs/>
          <w:color w:val="00AFCB"/>
          <w:sz w:val="22"/>
          <w:szCs w:val="22"/>
        </w:rPr>
        <w:t xml:space="preserve">06 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Aplicações</w:t>
      </w:r>
    </w:p>
    <w:p>
      <w:pPr>
        <w:spacing w:after="40"/>
        <w:ind w:left="480"/>
      </w:pPr>
      <w:r>
        <w:rPr>
          <w:rFonts w:ascii="Inter" w:cs="Inter" w:eastAsia="Inter" w:hAnsi="Inter"/>
          <w:color w:val="5B6770"/>
          <w:sz w:val="19"/>
          <w:szCs w:val="19"/>
        </w:rPr>
        <w:t xml:space="preserve">Site, redes, conteúdo científico e produtos.</w:t>
      </w:r>
    </w:p>
    <w:p>
      <w:pPr>
        <w:spacing w:after="20" w:before="70"/>
      </w:pPr>
      <w:r>
        <w:rPr>
          <w:rFonts w:ascii="Sora" w:cs="Sora" w:eastAsia="Sora" w:hAnsi="Sora"/>
          <w:b/>
          <w:bCs/>
          <w:color w:val="00AFCB"/>
          <w:sz w:val="22"/>
          <w:szCs w:val="22"/>
        </w:rPr>
        <w:t xml:space="preserve">07 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Governança</w:t>
      </w:r>
    </w:p>
    <w:p>
      <w:pPr>
        <w:spacing w:after="40"/>
        <w:ind w:left="480"/>
      </w:pPr>
      <w:r>
        <w:rPr>
          <w:rFonts w:ascii="Inter" w:cs="Inter" w:eastAsia="Inter" w:hAnsi="Inter"/>
          <w:color w:val="5B6770"/>
          <w:sz w:val="19"/>
          <w:szCs w:val="19"/>
        </w:rPr>
        <w:t xml:space="preserve">Checklist, critérios e próximos ativos.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01 · ESTRATÉGIA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Fundação da marca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AZLO trata vida, saúde, conhecimento e sistemas como domínios que podem ser diagnosticados, ajustados e elevados pelo mesmo método: medir, priorizar, intervir, revisar.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Propósito</w:t>
      </w:r>
    </w:p>
    <w:p>
      <w:pPr>
        <w:spacing w:after="12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Transformar potencial em resultado sustentável — em saúde, conhecimento e sistemas — por meio de método, ciência aplicada e tecnologia bem-empregada.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Essência</w:t>
      </w:r>
    </w:p>
    <w:tbl>
      <w:tblPr>
        <w:tblW w:type="dxa" w:w="9360"/>
        <w:tblBorders>
          <w:top w:val="single" w:color="F2FAFC" w:sz="1"/>
          <w:left w:val="single" w:color="35D3E6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ora" w:cs="Sora" w:eastAsia="Sora" w:hAnsi="Sora"/>
                <w:b/>
                <w:bCs/>
                <w:i/>
                <w:iCs/>
                <w:color w:val="052B57"/>
                <w:sz w:val="30"/>
                <w:szCs w:val="30"/>
              </w:rPr>
              <w:t xml:space="preserve">Precision for human ascent.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Missão e visão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Missão</w:t>
            </w:r>
          </w:p>
        </w:tc>
        <w:tc>
          <w:tcPr>
            <w:tcW w:type="dxa" w:w="46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Visão</w:t>
            </w:r>
          </w:p>
        </w:tc>
      </w:tr>
      <w:tr>
        <w:tc>
          <w:tcPr>
            <w:tcW w:type="dxa" w:w="46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Construir sistemas de otimização — clínicos, educacionais, científicos e digitais — que convertam intenção em resultado mensurável.</w:t>
            </w:r>
          </w:p>
        </w:tc>
        <w:tc>
          <w:tcPr>
            <w:tcW w:type="dxa" w:w="46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Ser referência em otimização aplicada com critério técnico, estética premium e utilidade real, da prática médica à automação inteligente.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Promessa central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/>
          <w:iCs/>
          <w:color w:val="111827"/>
          <w:sz w:val="21"/>
          <w:szCs w:val="21"/>
        </w:rPr>
        <w:t xml:space="preserve">Da base ao apice — </w:t>
      </w:r>
      <w:r>
        <w:rPr>
          <w:rFonts w:ascii="Inter" w:cs="Inter" w:eastAsia="Inter" w:hAnsi="Inter"/>
          <w:b/>
          <w:bCs/>
          <w:i/>
          <w:iCs/>
          <w:color w:val="111827"/>
          <w:sz w:val="21"/>
          <w:szCs w:val="21"/>
        </w:rPr>
        <w:t xml:space="preserve">do Alpha ao Zenith</w:t>
      </w:r>
      <w:r>
        <w:rPr>
          <w:rFonts w:ascii="Inter" w:cs="Inter" w:eastAsia="Inter" w:hAnsi="Inter"/>
          <w:b w:val="false"/>
          <w:bCs w:val="false"/>
          <w:i/>
          <w:iCs/>
          <w:color w:val="111827"/>
          <w:sz w:val="21"/>
          <w:szCs w:val="21"/>
        </w:rPr>
        <w:t xml:space="preserve"> — a AZLO organiza diagnóstico, método e indicadores para conduzir decisões mais lúcidas em cada domínio que toca.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01 · ESTRATÉGIA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Posicionamento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AZLO ocupa um território entre medicina aplicada, educação técnica, divulgação científica e engenharia de sistemas pessoais — unidos pela mesma disciplina de otimização.</w:t>
      </w:r>
    </w:p>
    <w:tbl>
      <w:tblPr>
        <w:tblW w:type="dxa" w:w="9360"/>
        <w:tblBorders>
          <w:top w:val="single" w:color="F2FAFC" w:sz="1"/>
          <w:left w:val="single" w:color="0A5E9C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Declaração de posicionamento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Para pessoas e instituições que querem sair do improviso e evoluir com método, a AZLO é uma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marca-guarda-chuva de otimização aplicada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que integra ciência, prática clínica, educação e tecnologia para transformar saúde, conhecimento e processos em sistemas de alto desempenho — sustentáveis e mensuráveis.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Territórios de marca</w:t>
      </w:r>
    </w:p>
    <w:p>
      <w:pPr>
        <w:spacing w:after="12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Medicina preventiva e de performance. Educação médica e técnica. Divulgação científica com rigor. Automação, IA e engenharia de rotina. Longevidade e cognição. Decisão baseada em evidência.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Diferenciação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Menos promessa milagrosa,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mais engenharia de método.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Menos estética genérica de wellness,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mais precisão técnica e dados.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Menos guru,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mais operador-cientista que mostra o sistema por trás do resultado.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O elo com a tecnologia não é acessório: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é o que torna a otimização replicável e escalável.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01 · ESTRATÉGIA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Público e segmentação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marca fala com dois círculos simultâneos: clientes/pacientes finais e pares institucionais. A marca-mãe sustenta o registro institucional; cada divisão calibra o tom para o seu público.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860"/>
      </w:tblGrid>
      <w:tr>
        <w:trPr>
          <w:tblHeader/>
        </w:trP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Círculo</w:t>
            </w:r>
          </w:p>
        </w:tc>
        <w:tc>
          <w:tcPr>
            <w:tcW w:type="dxa" w:w="3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38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O que espera da AZLO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Clientes finais</w:t>
            </w:r>
          </w:p>
        </w:tc>
        <w:tc>
          <w:tcPr>
            <w:tcW w:type="dxa" w:w="3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Pacientes, alunos, leitores, usuários de ferramentas.</w:t>
            </w:r>
          </w:p>
        </w:tc>
        <w:tc>
          <w:tcPr>
            <w:tcW w:type="dxa" w:w="38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Clareza, confiabilidade, resultado prático e linguagem acessível sem perder rigor.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Pares e instituições</w:t>
            </w:r>
          </w:p>
        </w:tc>
        <w:tc>
          <w:tcPr>
            <w:tcW w:type="dxa" w:w="3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Médicos, academia, bancas, parceiros, contratantes técnicos.</w:t>
            </w:r>
          </w:p>
        </w:tc>
        <w:tc>
          <w:tcPr>
            <w:tcW w:type="dxa" w:w="38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Credibilidade científica, método explícito, sobriedade e domínio técnico demonstrável.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Perfil psicográfico comum</w:t>
      </w:r>
    </w:p>
    <w:p>
      <w:pPr>
        <w:spacing w:after="12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Alta intencionalidade, sem elitismo vazio. O núcleo é disciplina inteligente, não culto à produtividade. Pessoas que valorizam experiência visual refinada, linguagem precisa e decisões guiadas por evidência.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02 · ARQUITETURA DE MARCA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Marca-mãe e divisões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AZLO opera como uma marca-mãe que empresta princípios, voz e sistema visual a quatro divisões. Cada divisão herda a identidade, mas tem território, público e tom próprios. Modelo de marca endossada: a mãe valida, a divisão atua.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As quatro divisões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460"/>
        <w:gridCol w:w="2500"/>
      </w:tblGrid>
      <w:tr>
        <w:trPr>
          <w:tblHeader/>
        </w:trPr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Divisão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Domínio</w:t>
            </w:r>
          </w:p>
        </w:tc>
        <w:tc>
          <w:tcPr>
            <w:tcW w:type="dxa" w:w="3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O que abriga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Público primário</w:t>
            </w:r>
          </w:p>
        </w:tc>
      </w:tr>
      <w:tr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Health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Saúde e performance</w:t>
            </w:r>
          </w:p>
        </w:tc>
        <w:tc>
          <w:tcPr>
            <w:tcW w:type="dxa" w:w="3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Prática clínica (medicina geral e aeroespacial, neuro), protocolos, longevidade.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Pacientes + pares clínicos</w:t>
            </w:r>
          </w:p>
        </w:tc>
      </w:tr>
      <w:tr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Education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Ensino</w:t>
            </w:r>
          </w:p>
        </w:tc>
        <w:tc>
          <w:tcPr>
            <w:tcW w:type="dxa" w:w="3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Cursos, mentorias, materiais de estudo, formação técnica e médica.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Alunos + instituições</w:t>
            </w:r>
          </w:p>
        </w:tc>
      </w:tr>
      <w:tr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Science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Ciência</w:t>
            </w:r>
          </w:p>
        </w:tc>
        <w:tc>
          <w:tcPr>
            <w:tcW w:type="dxa" w:w="3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Divulgação científica, pesquisa, publicação, revisão de evidência.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Público amplo + academia</w:t>
            </w:r>
          </w:p>
        </w:tc>
      </w:tr>
      <w:tr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Labs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Automação, IA, vibecode, ferramentas e engenharia de sistemas.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Usuários + parceiros técnicos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35D3E6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Por que “Labs” para a divisão de tecnologia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“Labs” comunica experimentação com rigor — um lugar onde se testa, mede e refina, exatamente o espírito da marca. Evita o tom de “software house” e acomoda seu estágio atual (entusiasta avançando para técnico) sem prometer maturidade que ainda está em construção.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É a tradução natural de “engenharia de rotina” para o domínio digital.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02 · ARQUITETURA DE MARCA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Regras de nomenclatura e relação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consistência da arquitetura depende de regras claras sobre como mãe e divisões aparecem juntas.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Lockup das divisões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Formato: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AZLO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em peso forte +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nome da divisão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em peso regular, mesma linha de base. Ex.: </w:t>
      </w:r>
      <w:r>
        <w:rPr>
          <w:rFonts w:ascii="Inter" w:cs="Inter" w:eastAsia="Inter" w:hAnsi="Inter"/>
          <w:b/>
          <w:bCs/>
          <w:i w:val="false"/>
          <w:iCs w:val="false"/>
          <w:color w:val="052B57"/>
          <w:sz w:val="21"/>
          <w:szCs w:val="21"/>
        </w:rPr>
        <w:t xml:space="preserve">AZLO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A5E9C"/>
          <w:sz w:val="21"/>
          <w:szCs w:val="21"/>
        </w:rPr>
        <w:t xml:space="preserve">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O símbolo (monograma A/Z) é sempre da marca-mãe; divisões não recebem símbolo próprio nesta fase.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A tagline institucional pertence à mãe. Divisões podem ter uma linha funcional curta própria (ex.: AZLO Labs — “sistemas que executam o método”).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Hierarquia de cor por divisão</w:t>
      </w:r>
    </w:p>
    <w:p>
      <w:pPr>
        <w:spacing w:after="12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Todas as divisões usam a mesma paleta. A diferenciação é sutil — feita pelo acento dominante, nunca por cores novas: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60"/>
        <w:gridCol w:w="380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Divisão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Acento-assinatura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Health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0AFCB"/>
                <w:sz w:val="18"/>
                <w:szCs w:val="18"/>
              </w:rPr>
              <w:t xml:space="preserve">Arc Teal (#00AFCB)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Vitalidade, clareza biológica.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Education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A5E9C"/>
                <w:sz w:val="18"/>
                <w:szCs w:val="18"/>
              </w:rPr>
              <w:t xml:space="preserve">Zenith Blue (#0A5E9C)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Estrutura, didática, confiança.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Science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52B57"/>
                <w:sz w:val="18"/>
                <w:szCs w:val="18"/>
              </w:rPr>
              <w:t xml:space="preserve">Deep Navy (#052B57)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Autoridade, sobriedade, rigor.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Labs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1FA9BD"/>
                <w:sz w:val="18"/>
                <w:szCs w:val="18"/>
              </w:rPr>
              <w:t xml:space="preserve">Vital Cyan (#35D3E6)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Energia, interface, experimentação.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03 · IDENTIDADE CONCEITUAL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Narrativa Alpha → Zenith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O nome contém a própria arquitetura da marca: origem, método, ápice e refinamento contínuo. Vale para um paciente, um aluno, um artigo ou um sistema de automação.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Conceito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O que significa em qualquer domínio</w:t>
            </w:r>
          </w:p>
        </w:tc>
      </w:tr>
      <w:t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0AFCB"/>
                <w:sz w:val="19"/>
                <w:szCs w:val="19"/>
              </w:rPr>
              <w:t xml:space="preserve">ALPHA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Início consciente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Diagnosticar a realidade, definir o ponto de partida, assumir direção.</w:t>
            </w:r>
          </w:p>
        </w:tc>
      </w:tr>
      <w:t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A5E9C"/>
                <w:sz w:val="19"/>
                <w:szCs w:val="19"/>
              </w:rPr>
              <w:t xml:space="preserve">VECTOR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Método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Traduzir metas em protocolo, rotina e indicadores acompanháveis.</w:t>
            </w:r>
          </w:p>
        </w:tc>
      </w:tr>
      <w:t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ZENITH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Ápice funcional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Atingir desempenho elevado com coerência e consistência.</w:t>
            </w:r>
          </w:p>
        </w:tc>
      </w:tr>
      <w:t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1FA9BD"/>
                <w:sz w:val="19"/>
                <w:szCs w:val="19"/>
              </w:rPr>
              <w:t xml:space="preserve">OPTIMIZATION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Ciclo contínuo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Revisar, ajustar e refinar o sistema ao longo do tempo.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00AFCB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Frase-guia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11827"/>
                <w:sz w:val="21"/>
                <w:szCs w:val="21"/>
              </w:rPr>
              <w:t xml:space="preserve">Sair do modo reativo, construir direção e operar a própria vida — e os próprios sistemas — como engenharia de alto desempenho sustentável.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03 · IDENTIDADE CONCEITUAL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Pilares da marca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O que a AZLO nunca deve perder, mesmo ao mudar de formato, divisão ou canal.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Precisão</w:t>
      </w:r>
    </w:p>
    <w:p>
      <w:pPr>
        <w:spacing w:after="40"/>
        <w:ind w:left="36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Fala com método, critério e mensuração. Evita frases motivacionais vagas.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Ascensão</w:t>
      </w:r>
    </w:p>
    <w:p>
      <w:pPr>
        <w:spacing w:after="40"/>
        <w:ind w:left="36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Comunica progresso e direção. O ápice é construído, não prometido.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Integração</w:t>
      </w:r>
    </w:p>
    <w:p>
      <w:pPr>
        <w:spacing w:after="40"/>
        <w:ind w:left="36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Enxerga tudo como sistema: saúde, conhecimento, rotina e ferramentas.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Sustentabilidade</w:t>
      </w:r>
    </w:p>
    <w:p>
      <w:pPr>
        <w:spacing w:after="40"/>
        <w:ind w:left="36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Performance sem autodestruição. Consistência acima de intensidade episódica.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Elegância técnica</w:t>
      </w:r>
    </w:p>
    <w:p>
      <w:pPr>
        <w:spacing w:after="40"/>
        <w:ind w:left="36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Visual limpo e racional. A estética reforça a confiança.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Autonomia</w:t>
      </w:r>
    </w:p>
    <w:p>
      <w:pPr>
        <w:spacing w:after="40"/>
        <w:ind w:left="36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Educa e organiza sem criar dependência nem culto a guru.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Alavancagem técnica</w:t>
      </w:r>
    </w:p>
    <w:p>
      <w:pPr>
        <w:spacing w:after="40"/>
        <w:ind w:left="36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Usa tecnologia para tornar o método replicável, medível e escalável.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O sétimo pilar —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alavancagem técnica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— é novo na v2.0. É ele que dá lastro à AZLO Labs e ao valor que você considera crucial: o vínculo com a tecnologia.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03 · IDENTIDADE CONCEITUAL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Personalidade e arquétipos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AZLO soa como um operador-cientista de alta confiança — não como influenciador motivacional.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Arquétipo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4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Como se manifesta</w:t>
            </w:r>
          </w:p>
        </w:tc>
      </w:tr>
      <w:tr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Sábio (primário)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Entendimento e método</w:t>
            </w:r>
          </w:p>
        </w:tc>
        <w:tc>
          <w:tcPr>
            <w:tcW w:type="dxa" w:w="4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Traduz complexidade em decisão. Maturidade, sobriedade, critério.</w:t>
            </w:r>
          </w:p>
        </w:tc>
      </w:tr>
      <w:tr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Explorador (secundário)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Expansão de limites</w:t>
            </w:r>
          </w:p>
        </w:tc>
        <w:tc>
          <w:tcPr>
            <w:tcW w:type="dxa" w:w="4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Empurra fronteiras por trajetória calculada, sem sensacionalismo.</w:t>
            </w:r>
          </w:p>
        </w:tc>
      </w:tr>
      <w:tr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Artífice (terciário)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Construção de sistemas</w:t>
            </w:r>
          </w:p>
        </w:tc>
        <w:tc>
          <w:tcPr>
            <w:tcW w:type="dxa" w:w="4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Constrói as ferramentas que executam o método. O lado AZLO Labs.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Escala de personalidade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052B57"/>
          <w:sz w:val="19"/>
          <w:szCs w:val="19"/>
        </w:rPr>
        <w:t xml:space="preserve">Científica      </w:t>
      </w:r>
      <w:r>
        <w:rPr>
          <w:color w:val="00AFCB"/>
          <w:sz w:val="19"/>
          <w:szCs w:val="19"/>
        </w:rPr>
        <w:t xml:space="preserve">  █████████████████</w:t>
      </w:r>
      <w:r>
        <w:rPr>
          <w:color w:val="D5E2EC"/>
          <w:sz w:val="19"/>
          <w:szCs w:val="19"/>
        </w:rPr>
        <w:t xml:space="preserve">░░░</w:t>
      </w:r>
      <w:r>
        <w:rPr>
          <w:rFonts w:ascii="Inter" w:cs="Inter" w:eastAsia="Inter" w:hAnsi="Inter"/>
          <w:color w:val="5B6770"/>
          <w:sz w:val="18"/>
          <w:szCs w:val="18"/>
        </w:rPr>
        <w:t xml:space="preserve">  86%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052B57"/>
          <w:sz w:val="19"/>
          <w:szCs w:val="19"/>
        </w:rPr>
        <w:t xml:space="preserve">Minimalista     </w:t>
      </w:r>
      <w:r>
        <w:rPr>
          <w:color w:val="00AFCB"/>
          <w:sz w:val="19"/>
          <w:szCs w:val="19"/>
        </w:rPr>
        <w:t xml:space="preserve">  ████████████████</w:t>
      </w:r>
      <w:r>
        <w:rPr>
          <w:color w:val="D5E2EC"/>
          <w:sz w:val="19"/>
          <w:szCs w:val="19"/>
        </w:rPr>
        <w:t xml:space="preserve">░░░░</w:t>
      </w:r>
      <w:r>
        <w:rPr>
          <w:rFonts w:ascii="Inter" w:cs="Inter" w:eastAsia="Inter" w:hAnsi="Inter"/>
          <w:color w:val="5B6770"/>
          <w:sz w:val="18"/>
          <w:szCs w:val="18"/>
        </w:rPr>
        <w:t xml:space="preserve">  82%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052B57"/>
          <w:sz w:val="19"/>
          <w:szCs w:val="19"/>
        </w:rPr>
        <w:t xml:space="preserve">Premium         </w:t>
      </w:r>
      <w:r>
        <w:rPr>
          <w:color w:val="00AFCB"/>
          <w:sz w:val="19"/>
          <w:szCs w:val="19"/>
        </w:rPr>
        <w:t xml:space="preserve">  ████████████████</w:t>
      </w:r>
      <w:r>
        <w:rPr>
          <w:color w:val="D5E2EC"/>
          <w:sz w:val="19"/>
          <w:szCs w:val="19"/>
        </w:rPr>
        <w:t xml:space="preserve">░░░░</w:t>
      </w:r>
      <w:r>
        <w:rPr>
          <w:rFonts w:ascii="Inter" w:cs="Inter" w:eastAsia="Inter" w:hAnsi="Inter"/>
          <w:color w:val="5B6770"/>
          <w:sz w:val="18"/>
          <w:szCs w:val="18"/>
        </w:rPr>
        <w:t xml:space="preserve">  78%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052B57"/>
          <w:sz w:val="19"/>
          <w:szCs w:val="19"/>
        </w:rPr>
        <w:t xml:space="preserve">Aspiracional    </w:t>
      </w:r>
      <w:r>
        <w:rPr>
          <w:color w:val="00AFCB"/>
          <w:sz w:val="19"/>
          <w:szCs w:val="19"/>
        </w:rPr>
        <w:t xml:space="preserve">  ███████████████</w:t>
      </w:r>
      <w:r>
        <w:rPr>
          <w:color w:val="D5E2EC"/>
          <w:sz w:val="19"/>
          <w:szCs w:val="19"/>
        </w:rPr>
        <w:t xml:space="preserve">░░░░░</w:t>
      </w:r>
      <w:r>
        <w:rPr>
          <w:rFonts w:ascii="Inter" w:cs="Inter" w:eastAsia="Inter" w:hAnsi="Inter"/>
          <w:color w:val="5B6770"/>
          <w:sz w:val="18"/>
          <w:szCs w:val="18"/>
        </w:rPr>
        <w:t xml:space="preserve">  74%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052B57"/>
          <w:sz w:val="19"/>
          <w:szCs w:val="19"/>
        </w:rPr>
        <w:t xml:space="preserve">Humana          </w:t>
      </w:r>
      <w:r>
        <w:rPr>
          <w:color w:val="00AFCB"/>
          <w:sz w:val="19"/>
          <w:szCs w:val="19"/>
        </w:rPr>
        <w:t xml:space="preserve">  ██████████████</w:t>
      </w:r>
      <w:r>
        <w:rPr>
          <w:color w:val="D5E2EC"/>
          <w:sz w:val="19"/>
          <w:szCs w:val="19"/>
        </w:rPr>
        <w:t xml:space="preserve">░░░░░░</w:t>
      </w:r>
      <w:r>
        <w:rPr>
          <w:rFonts w:ascii="Inter" w:cs="Inter" w:eastAsia="Inter" w:hAnsi="Inter"/>
          <w:color w:val="5B6770"/>
          <w:sz w:val="18"/>
          <w:szCs w:val="18"/>
        </w:rPr>
        <w:t xml:space="preserve">  68%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052B57"/>
          <w:sz w:val="19"/>
          <w:szCs w:val="19"/>
        </w:rPr>
        <w:t xml:space="preserve">Técnica/maker   </w:t>
      </w:r>
      <w:r>
        <w:rPr>
          <w:color w:val="00AFCB"/>
          <w:sz w:val="19"/>
          <w:szCs w:val="19"/>
        </w:rPr>
        <w:t xml:space="preserve">  ██████████████</w:t>
      </w:r>
      <w:r>
        <w:rPr>
          <w:color w:val="D5E2EC"/>
          <w:sz w:val="19"/>
          <w:szCs w:val="19"/>
        </w:rPr>
        <w:t xml:space="preserve">░░░░░░</w:t>
      </w:r>
      <w:r>
        <w:rPr>
          <w:rFonts w:ascii="Inter" w:cs="Inter" w:eastAsia="Inter" w:hAnsi="Inter"/>
          <w:color w:val="5B6770"/>
          <w:sz w:val="18"/>
          <w:szCs w:val="18"/>
        </w:rPr>
        <w:t xml:space="preserve">  72%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Logo e símbolo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O logo combina monograma, trajetória e wordmark. A assinatura completa é a versão primária para materiais institucionais e digitais.</w:t>
      </w:r>
    </w:p>
    <w:tbl>
      <w:tblPr>
        <w:tblW w:type="dxa" w:w="9360"/>
        <w:tblBorders>
          <w:top w:val="single" w:color="FFFFFF" w:sz="1"/>
          <w:left w:val="single" w:color="00AFCB" w:sz="24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191000" cy="1733550"/>
                  <wp:effectExtent t="0" r="0" b="0" l="0"/>
                  <wp:docPr id="1" name="AZLO" descr="Logo AZLO assinatura completa" title="AZ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Monograma A/Z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Integra origem e ápice. O A é estrutura de ascensão; o Z indica transição e fechamento de ciclo.</w:t>
            </w:r>
          </w:p>
        </w:tc>
      </w:tr>
      <w:t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Arco ciano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Trajetória, horizonte, órbita, progresso e ajuste contínuo.</w:t>
            </w:r>
          </w:p>
        </w:tc>
      </w:tr>
      <w:t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Estrela-guia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Direção, foco, norte estratégico e zênite.</w:t>
            </w:r>
          </w:p>
        </w:tc>
      </w:tr>
      <w:t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Base em Z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Caminho estruturado do início ao ápice.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Versões e usos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Tamanho mínimo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Assinatura completa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Site, capa, apresentações, documentos institucionais.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220 px / 45 mm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Wordmark AZLO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Quando o símbolo já aparece no layout, ou espaços horizontais.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96 px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Símbolo isolado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Avatar, favicon, app icon, selo, marca d’água.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32 px / 10 mm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Monocromática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Gravação, bordado, P&amp;B, carimbos, fundos complexos.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00AFCB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Regra prática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Se a tagline ficar ilegível, use apenas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AZLO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ou o símbolo. Nunca force reduções que transformem a assinatura em textura.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Clearspace mínimo = altura da letra A do wordmark.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Anatomia simbólica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O símbolo é um sistema visual, não ornamento. Cada elemento carrega significado estratégico.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2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190750" cy="2400300"/>
                  <wp:effectExtent t="0" r="0" b="0" l="0"/>
                  <wp:docPr id="1" name="AZLO símbolo" descr="Monograma A/Z AZLO" title="AZLO símbo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one"/>
              <w:left w:val="single" w:color="D5E2EC" w:sz="6"/>
              <w:bottom w:val="none"/>
              <w:right w:val="none"/>
            </w:tcBorders>
            <w:tcMar>
              <w:top w:type="dxa" w:w="80"/>
              <w:left w:type="dxa" w:w="260"/>
              <w:bottom w:type="dxa" w:w="8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Ápice / Zenith</w:t>
            </w:r>
          </w:p>
          <w:p>
            <w:pPr>
              <w:spacing w:after="14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Ponto de máxima direção e ambição.</w:t>
            </w:r>
          </w:p>
          <w:p>
            <w:pPr>
              <w:spacing w:after="4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Estrela interna</w:t>
            </w:r>
          </w:p>
          <w:p>
            <w:pPr>
              <w:spacing w:after="14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Norte, foco e calibragem.</w:t>
            </w:r>
          </w:p>
          <w:p>
            <w:pPr>
              <w:spacing w:after="4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Curva de trajetória</w:t>
            </w:r>
          </w:p>
          <w:p>
            <w:pPr>
              <w:spacing w:after="14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Progresso, horizonte e continuidade.</w:t>
            </w:r>
          </w:p>
          <w:p>
            <w:pPr>
              <w:spacing w:after="4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Base em Z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Caminho estruturado do início ao ápice.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Usos incorretos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marca deve preservar proporção, contraste, legibilidade e sobriedade.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Sora" w:cs="Sora" w:eastAsia="Sora" w:hAnsi="Sora"/>
          <w:b/>
          <w:bCs/>
          <w:color w:val="052B57"/>
          <w:sz w:val="21"/>
          <w:szCs w:val="21"/>
        </w:rPr>
        <w:t xml:space="preserve">Não distorcer</w:t>
      </w:r>
    </w:p>
    <w:p>
      <w:pPr>
        <w:spacing w:after="40"/>
        <w:ind w:left="42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Nunca comprimir, esticar ou alterar proporções do símbolo e do wordmark.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Sora" w:cs="Sora" w:eastAsia="Sora" w:hAnsi="Sora"/>
          <w:b/>
          <w:bCs/>
          <w:color w:val="052B57"/>
          <w:sz w:val="21"/>
          <w:szCs w:val="21"/>
        </w:rPr>
        <w:t xml:space="preserve">Não trocar cores</w:t>
      </w:r>
    </w:p>
    <w:p>
      <w:pPr>
        <w:spacing w:after="40"/>
        <w:ind w:left="42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Evitar vermelho, laranja ou paletas que diluam o território premium-científico.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Sora" w:cs="Sora" w:eastAsia="Sora" w:hAnsi="Sora"/>
          <w:b/>
          <w:bCs/>
          <w:color w:val="052B57"/>
          <w:sz w:val="21"/>
          <w:szCs w:val="21"/>
        </w:rPr>
        <w:t xml:space="preserve">Não aplicar sombra pesada</w:t>
      </w:r>
    </w:p>
    <w:p>
      <w:pPr>
        <w:spacing w:after="40"/>
        <w:ind w:left="42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Efeitos 3D, bevel e glow excessivo reduzem sofisticação.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Sora" w:cs="Sora" w:eastAsia="Sora" w:hAnsi="Sora"/>
          <w:b/>
          <w:bCs/>
          <w:color w:val="052B57"/>
          <w:sz w:val="21"/>
          <w:szCs w:val="21"/>
        </w:rPr>
        <w:t xml:space="preserve">Não usar em fundo poluído</w:t>
      </w:r>
    </w:p>
    <w:p>
      <w:pPr>
        <w:spacing w:after="40"/>
        <w:ind w:left="42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Se o fundo competir, aplique área neutra ou versão monocromática.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Sora" w:cs="Sora" w:eastAsia="Sora" w:hAnsi="Sora"/>
          <w:b/>
          <w:bCs/>
          <w:color w:val="052B57"/>
          <w:sz w:val="21"/>
          <w:szCs w:val="21"/>
        </w:rPr>
        <w:t xml:space="preserve">Não reposicionar elementos</w:t>
      </w:r>
    </w:p>
    <w:p>
      <w:pPr>
        <w:spacing w:after="40"/>
        <w:ind w:left="42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Não separar a estrela, mover a curva ou alterar a relação símbolo-wordmark.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Sora" w:cs="Sora" w:eastAsia="Sora" w:hAnsi="Sora"/>
          <w:b/>
          <w:bCs/>
          <w:color w:val="052B57"/>
          <w:sz w:val="21"/>
          <w:szCs w:val="21"/>
        </w:rPr>
        <w:t xml:space="preserve">Não exagerar na tagline</w:t>
      </w:r>
    </w:p>
    <w:p>
      <w:pPr>
        <w:spacing w:after="40"/>
        <w:ind w:left="42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A linha Alpha Zenith Life Optimization sai em tamanhos pequenos.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Paleta cromática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Ciência, profundidade, clareza e vitalidade. Azul estrutura; ciano ativa; branco respira.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Deep Navy</w:t>
            </w:r>
          </w:p>
          <w:p>
            <w:r>
              <w:rPr>
                <w:rFonts w:ascii="Inter" w:cs="Inter" w:eastAsia="Inter" w:hAnsi="Inter"/>
                <w:color w:val="5B6770"/>
                <w:sz w:val="17"/>
                <w:szCs w:val="17"/>
              </w:rPr>
              <w:t xml:space="preserve">#052B57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Cor primária. Autoridade, ciência e confiança.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A5E9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Zenith Blue</w:t>
            </w:r>
          </w:p>
          <w:p>
            <w:r>
              <w:rPr>
                <w:rFonts w:ascii="Inter" w:cs="Inter" w:eastAsia="Inter" w:hAnsi="Inter"/>
                <w:color w:val="5B6770"/>
                <w:sz w:val="17"/>
                <w:szCs w:val="17"/>
              </w:rPr>
              <w:t xml:space="preserve">#0A5E9C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Suporte: fundos, gráficos, navegação.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0AFC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Arc Teal</w:t>
            </w:r>
          </w:p>
          <w:p>
            <w:r>
              <w:rPr>
                <w:rFonts w:ascii="Inter" w:cs="Inter" w:eastAsia="Inter" w:hAnsi="Inter"/>
                <w:color w:val="5B6770"/>
                <w:sz w:val="17"/>
                <w:szCs w:val="17"/>
              </w:rPr>
              <w:t xml:space="preserve">#00AFCB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Acentos, CTAs, highlights, progresso.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35D3E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Vital Cyan</w:t>
            </w:r>
          </w:p>
          <w:p>
            <w:r>
              <w:rPr>
                <w:rFonts w:ascii="Inter" w:cs="Inter" w:eastAsia="Inter" w:hAnsi="Inter"/>
                <w:color w:val="5B6770"/>
                <w:sz w:val="17"/>
                <w:szCs w:val="17"/>
              </w:rPr>
              <w:t xml:space="preserve">#35D3E6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Microinterações, brilho sutil, estados ativos.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Ice White</w:t>
            </w:r>
          </w:p>
          <w:p>
            <w:r>
              <w:rPr>
                <w:rFonts w:ascii="Inter" w:cs="Inter" w:eastAsia="Inter" w:hAnsi="Inter"/>
                <w:color w:val="5B6770"/>
                <w:sz w:val="17"/>
                <w:szCs w:val="17"/>
              </w:rPr>
              <w:t xml:space="preserve">#F2FAFC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Fundos secundários e cards.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11182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Graphite</w:t>
            </w:r>
          </w:p>
          <w:p>
            <w:r>
              <w:rPr>
                <w:rFonts w:ascii="Inter" w:cs="Inter" w:eastAsia="Inter" w:hAnsi="Inter"/>
                <w:color w:val="5B6770"/>
                <w:sz w:val="17"/>
                <w:szCs w:val="17"/>
              </w:rPr>
              <w:t xml:space="preserve">#111827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Texto principal em contexto editorial.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0A5E9C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Regra 70/20/10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70%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neutros e azul profundo — base, confiança, leitura, autoridade.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20%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azul médio e tons de suporte — estrutura, gráficos, áreas de informação.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10%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teal/ciano — acentos, chamadas, indicadores, progresso e energia.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O ciano é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sinal, não preenchimento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. Quando tudo brilha, nada orienta.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Tipografia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Geométrica, limpa e altamente legível. Tom técnico-premium, nunca decorativo.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416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Família</w:t>
            </w:r>
          </w:p>
        </w:tc>
        <w:tc>
          <w:tcPr>
            <w:tcW w:type="dxa" w:w="4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Display / títulos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Space Grotesk · Sora</w:t>
            </w:r>
          </w:p>
        </w:tc>
        <w:tc>
          <w:tcPr>
            <w:tcW w:type="dxa" w:w="4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Títulos, hero, números, chamadas, interface. Geométrica e presente.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Texto / corpo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Inter · IBM Plex Sans</w:t>
            </w:r>
          </w:p>
        </w:tc>
        <w:tc>
          <w:tcPr>
            <w:tcW w:type="dxa" w:w="4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Textos longos, dashboards, documentos, protocolos, conteúdo.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Hierarquia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900"/>
        <w:gridCol w:w="3660"/>
      </w:tblGrid>
      <w:tr>
        <w:trPr>
          <w:tblHeader/>
        </w:trP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H1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48–64 px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600–700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Tracking levemente negativo</w:t>
            </w:r>
          </w:p>
        </w:tc>
      </w:tr>
      <w:t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H2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28–36 px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600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Corpo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16–18 px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400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Line-height 145–160%</w:t>
            </w:r>
          </w:p>
        </w:tc>
      </w:tr>
      <w:t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Legendas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11–13 px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500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Uppercase moderado, tracking positivo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Iconografia e imagens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Ícones e fotos devem parecer parte do mesmo sistema: linhas, ângulos, arcos e precisão geométrica.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Iconografia</w:t>
      </w:r>
    </w:p>
    <w:p>
      <w:pPr>
        <w:spacing w:after="12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Stroke de 2–3 px, cantos levemente arredondados, ângulos de 45°, arcos orbitais e poucos detalhes internos. Evitar ilustrações cartunizadas, ícones multicoloridos e pictogramas genéricos de academia.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Direção de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2FAFC" w:sz="1"/>
              <w:left w:val="single" w:color="00AFCB" w:sz="18"/>
              <w:bottom w:val="single" w:color="F2FAFC" w:sz="1"/>
              <w:right w:val="single" w:color="F2FAFC" w:sz="1"/>
            </w:tcBorders>
            <w:shd w:fill="F2FAFC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Usar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Ambientes limpos, luz natural/fria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Close-ups técnicos, dashboards, 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Consultas, laboratórios, treino sóbrio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Natureza minimalista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Telas de código e fluxos (para Labs)</w:t>
            </w:r>
          </w:p>
        </w:tc>
        <w:tc>
          <w:tcPr>
            <w:tcW w:type="dxa" w:w="4680"/>
            <w:tcBorders>
              <w:top w:val="single" w:color="FBEEEC" w:sz="1"/>
              <w:left w:val="single" w:color="C0392B" w:sz="18"/>
              <w:bottom w:val="single" w:color="FBEEEC" w:sz="1"/>
              <w:right w:val="single" w:color="FBEEEC" w:sz="1"/>
            </w:tcBorders>
            <w:shd w:fill="FBEEEC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Evitar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Stock excessivamente feliz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Estética de coach, corpos irreais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Neon agressivo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Antes/depois sensacionalista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Mockups de IA genéricos e robôs clichê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Tratamento: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contraste moderado, brancos limpos, azul profundo em overlays, acento ciano para foco e indicadores.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05 · IDENTIDADE VERBAL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Voz da marca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AZLO fala com precisão, clareza e ambição controlada. Inspira sem simplificar demais nem prometer resultados irreais.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2FAFC" w:sz="1"/>
              <w:left w:val="single" w:color="00AFCB" w:sz="18"/>
              <w:bottom w:val="single" w:color="F2FAFC" w:sz="1"/>
              <w:right w:val="single" w:color="F2FAFC" w:sz="1"/>
            </w:tcBorders>
            <w:shd w:fill="F2FAFC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Como soa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Técnica e serena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Objetiva e elegante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Orientada a decisão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Focada em progresso mensurável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Confiante sem arrogância</w:t>
            </w:r>
          </w:p>
        </w:tc>
        <w:tc>
          <w:tcPr>
            <w:tcW w:type="dxa" w:w="4680"/>
            <w:tcBorders>
              <w:top w:val="single" w:color="FBEEEC" w:sz="1"/>
              <w:left w:val="single" w:color="C0392B" w:sz="18"/>
              <w:bottom w:val="single" w:color="FBEEEC" w:sz="1"/>
              <w:right w:val="single" w:color="FBEEEC" w:sz="1"/>
            </w:tcBorders>
            <w:shd w:fill="FBEEEC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Como NÃO soa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Agressiva ou milagrosa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Moralista ou guru-like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Excessivamente fitness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Hiperprodutiva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Pseudocientífica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0A5E9C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Regra verbal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Toda frase deve cumprir ao menos uma função: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orientar, medir, priorizar, explicar, corrigir ou elevar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. Se a frase apenas soa bonita, ela não é suficiente.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05 · IDENTIDADE VERBAL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Tagline oficial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v3.0 adota uma direção definitiva. O critério decisivo: a marca cobre quatro frentes, então a tagline precisa falar de método — não de “vida”, que prenderia a leitura à saúde.</w:t>
      </w:r>
    </w:p>
    <w:tbl>
      <w:tblPr>
        <w:tblW w:type="dxa" w:w="9360"/>
        <w:tblBorders>
          <w:top w:val="single" w:color="F2FAFC" w:sz="1"/>
          <w:left w:val="single" w:color="00AFCB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Sora" w:cs="Sora" w:eastAsia="Sora" w:hAnsi="Sora"/>
                <w:b/>
                <w:bCs/>
                <w:color w:val="052B57"/>
                <w:sz w:val="34"/>
                <w:szCs w:val="34"/>
              </w:rPr>
              <w:t xml:space="preserve">Optimization as a method.</w:t>
            </w:r>
          </w:p>
          <w:p>
            <w:pPr>
              <w:spacing w:after="80"/>
              <w:jc w:val="center"/>
            </w:pPr>
            <w:r>
              <w:rPr>
                <w:rFonts w:ascii="Sora" w:cs="Sora" w:eastAsia="Sora" w:hAnsi="Sora"/>
                <w:b/>
                <w:bCs/>
                <w:color w:val="00AFCB"/>
                <w:sz w:val="34"/>
                <w:szCs w:val="34"/>
              </w:rPr>
              <w:t xml:space="preserve">Across everything that matters.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5B6770"/>
                <w:sz w:val="21"/>
                <w:szCs w:val="21"/>
              </w:rPr>
              <w:t xml:space="preserve">Otimização como método — em saúde, conhecimento e sistemas.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Por que esta direção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Desloca o eixo de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“vida” para “método”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abraçando saúde, educação, ciência e tecnologia como iguais.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Preserva o espírito de otimização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sem prender a marca a um único domínio.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Em contextos B2C mais diretos, apoiar com a subheadline ou a promessa curta.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Reserva tática</w:t>
      </w:r>
    </w:p>
    <w:p>
      <w:pPr>
        <w:spacing w:after="12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Usar conforme o canal, sempre subordinadas à tagline oficial: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/>
          <w:iCs/>
          <w:color w:val="111827"/>
          <w:sz w:val="21"/>
          <w:szCs w:val="21"/>
        </w:rPr>
        <w:t xml:space="preserve">“Method over miracles.”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B6770"/>
          <w:sz w:val="21"/>
          <w:szCs w:val="21"/>
        </w:rPr>
        <w:t xml:space="preserve">  — curta e combativa, ótima para redes sociais.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/>
          <w:iCs/>
          <w:color w:val="111827"/>
          <w:sz w:val="21"/>
          <w:szCs w:val="21"/>
        </w:rPr>
        <w:t xml:space="preserve">“From Alpha to Zenith — in every system you run.”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B6770"/>
          <w:sz w:val="21"/>
          <w:szCs w:val="21"/>
        </w:rPr>
        <w:t xml:space="preserve">  — quando a narrativa do nome for o foco.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/>
          <w:iCs/>
          <w:color w:val="111827"/>
          <w:sz w:val="21"/>
          <w:szCs w:val="21"/>
        </w:rPr>
        <w:t xml:space="preserve">“Precision for human ascent.”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B6770"/>
          <w:sz w:val="21"/>
          <w:szCs w:val="21"/>
        </w:rPr>
        <w:t xml:space="preserve">  — a essência, utilizável como assinatura institucional.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/>
          <w:iCs/>
          <w:color w:val="111827"/>
          <w:sz w:val="21"/>
          <w:szCs w:val="21"/>
        </w:rPr>
        <w:t xml:space="preserve">“Life optimization as a measurable system.”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B6770"/>
          <w:sz w:val="21"/>
          <w:szCs w:val="21"/>
        </w:rPr>
        <w:t xml:space="preserve">  — herança da v1; reservar para peças exclusivas de AZLO Health.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05 · IDENTIDADE VERBAL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Mensagens-chave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Frases reutilizáveis para site, redes, propostas e produtos, ancoradas na tagline oficial.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Tagline institucional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i/>
                <w:iCs/>
                <w:color w:val="111827"/>
                <w:sz w:val="19"/>
                <w:szCs w:val="19"/>
              </w:rPr>
              <w:t xml:space="preserve">Optimization as a method. Across everything that matters.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Versão PT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Otimização como método — em saúde, conhecimento e sistemas.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Promessa curta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Do ponto de partida ao máximo potencial.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Headline forte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Construa uma vida — e sistemas — que operam com clareza e alta performance.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Subheadline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 AZLO integra diagnóstico, método, indicadores e tecnologia para transformar progresso em sistema.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CTA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Comece pelo diagnóstico. Evolua pelo método.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05 · IDENTIDADE VERBAL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Banco verbal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Palavras orientam percepção. Evitar tanto o excesso de frieza quanto o entusiasmo vazio.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Usar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Usar com cuidado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Evitar</w:t>
            </w:r>
          </w:p>
        </w:tc>
      </w:tr>
      <w:tr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A6B2E"/>
                <w:sz w:val="18"/>
                <w:szCs w:val="18"/>
              </w:rPr>
              <w:t xml:space="preserve">Método · Sistema · Clareza · Ascensão · Indicadores · Consistência · Otimização · Precisão · Longevidade · Performance sustentável · Evidência · Calibrar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8A6D00"/>
                <w:sz w:val="18"/>
                <w:szCs w:val="18"/>
              </w:rPr>
              <w:t xml:space="preserve">Biohacking · Alta performance · Protocolos · Disciplina · Potencial · Transformação · Elite · Aprimoramento · IA · Automação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9A2A20"/>
                <w:sz w:val="18"/>
                <w:szCs w:val="18"/>
              </w:rPr>
              <w:t xml:space="preserve">Milagre · Hack definitivo · Resultado garantido · Produtividade infinita · Corpo perfeito · Anti-aging absoluto · Sem esforço · Segredo oculto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00AFCB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Tom editorial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Frases curtas para decisões. Frases médias para educação. Evitar parágrafos longos em landing pages. Preferir verbos de construção: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medir, ajustar, sustentar, calibrar, integrar, ascender.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06 · APLICAÇÕES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Sistema de conteúdo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AZLO opera como ecossistema educacional, científico, clínico e comercial — de microconteúdos a produtos de acompanhamento.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Frente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O que abrange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Questionários, scorecards, mapas de rotina, biomarcadores, autoavaliação.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Protocolos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Sono, treino, nutrição, foco, planejamento, revisões, higiene digital.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Dashboards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Indicadores simples: energia, humor, sono, treino, aderência, foco, recuperação.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Deep dives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Conteúdos técnicos sobre fisiologia, comportamento, longevidade, performance.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Ferramentas (Labs)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Automações, agentes de IA, scripts, templates vivos e pipelines de conteúdo.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Evidência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Distinguir sempre ciência consolidada, plausibilidade mecanística e opinião operacional.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06 · APLICAÇÕES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Redes sociais e interface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AZLO deve parecer um laboratório editorial de otimização — não um perfil motivacional.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Fórmula editorial</w:t>
      </w:r>
    </w:p>
    <w:tbl>
      <w:tblPr>
        <w:tblW w:type="dxa" w:w="9360"/>
        <w:tblBorders>
          <w:top w:val="single" w:color="F2FAFC" w:sz="1"/>
          <w:left w:val="single" w:color="0A5E9C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52B57"/>
                <w:sz w:val="21"/>
                <w:szCs w:val="21"/>
              </w:rPr>
              <w:t xml:space="preserve">Problema concreto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0AFCB"/>
                <w:sz w:val="21"/>
                <w:szCs w:val="21"/>
              </w:rPr>
              <w:t xml:space="preserve">  →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52B57"/>
                <w:sz w:val="21"/>
                <w:szCs w:val="21"/>
              </w:rPr>
              <w:t xml:space="preserve">princípio técnico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0AFCB"/>
                <w:sz w:val="21"/>
                <w:szCs w:val="21"/>
              </w:rPr>
              <w:t xml:space="preserve">  →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52B57"/>
                <w:sz w:val="21"/>
                <w:szCs w:val="21"/>
              </w:rPr>
              <w:t xml:space="preserve">protocolo simples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0AFCB"/>
                <w:sz w:val="21"/>
                <w:szCs w:val="21"/>
              </w:rPr>
              <w:t xml:space="preserve">  →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52B57"/>
                <w:sz w:val="21"/>
                <w:szCs w:val="21"/>
              </w:rPr>
              <w:t xml:space="preserve">indicador de acompanhamento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0AFCB"/>
                <w:sz w:val="21"/>
                <w:szCs w:val="21"/>
              </w:rPr>
              <w:t xml:space="preserve">  →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52B57"/>
                <w:sz w:val="21"/>
                <w:szCs w:val="21"/>
              </w:rPr>
              <w:t xml:space="preserve">critério de revisão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Landing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Hero comunica diagnóstico, direção e método em poucos segundos.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Navegação enxuta: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Método · Divisões · Conteúdo · Contato.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Um CTA primário dominante (“Começar diagnóstico”); acento ciano só nele.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Acima da dobra: tagline + subheadline + CTA. Nada mais disputa atenção.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06 · APLICAÇÕES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Materiais institucionais e científicos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Em documentos e apresentações, priorizar consistência, legibilidade e arquitetura cognitiva.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Diretriz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Apresentações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Capa com logo grande, uma ideia por slide, cards modulares, gráficos limpos, acento ciano só para foco.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Estrutura executiva: diagnóstico → achados → interpretação → recomendações → próximas decisões.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Conteúdo científico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Citar fontes, marcar nível de evidência, separar fato de inferência e de opinião operacional.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Protocolos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Checklists e fluxos de ação. Linguagem prescritiva, sem prometer resultado garantido.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Produtos / ferramentas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Templates, guias, dashboards e apps mantêm a mesma gramática: azul, ciano, grid, dados, progresso.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052B57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Disclaimer recomendado (saúde e ciência)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11827"/>
                <w:sz w:val="19"/>
                <w:szCs w:val="19"/>
              </w:rPr>
              <w:t xml:space="preserve">Conteúdo educacional. Não substitui avaliação individual por profissional habilitado. Recomendações refletem evidência disponível na data de publicação e podem ser revisadas.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07 · GOVERNANÇA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Checklist de consistência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Antes de publicar qualquer peça da AZLO, valide estes critérios.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Comunica método, ciência ou decisão prática — não apenas inspiração?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A promessa é plausível, mensurável e sem tom milagroso?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O logo está legível, com respiro adequado e sem distorção?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A paleta respeita azul como base e ciano como acento (70/20/10)?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A tipografia preserva hierarquia e legibilidade?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O material parece premium, técnico e humano ao mesmo tempo?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Há distinção clara entre evidência, interpretação e opinião operacional?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Se é de uma divisão, o lockup e o acento-assinatura estão corretos?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Existe um próximo passo claro para o usuário?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07 · GOVERNANÇA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Próximos ativos recomendados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Para transformar o brand book em sistema operacional, produzir em seguida: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560"/>
        <w:gridCol w:w="1700"/>
      </w:tblGrid>
      <w:tr>
        <w:trPr>
          <w:tblHeader/>
        </w:trP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Ativo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Vetorização do logo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Recriar a wordmark em vetor: corrigir tracking e o baseline de “LIFE”. Gerar SVG/PNG, positivo, negativo, mono, favicon + lockups das 4 divisões.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Componentes para posts, carrosséis, LPs, dashboards e apresentações.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Manual editorial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Calendário de conteúdo, linhas editoriais, critérios de evidência, padrão de revisão.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8A6D00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Diagnóstico AZLO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Produto mínimo: score inicial de sono, treino, nutrição, foco, rotina, recuperação.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8A6D00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Templates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Notion / Sheets / Canva para protocolos, relatórios, scorecards.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8A6D00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Legal e marca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Disponibilidade, registro de marca, domínio, handle, padrão de disclaimers.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</w:tbl>
    <w:p>
      <w:r>
        <w:br w:type="page"/>
      </w:r>
    </w:p>
    <w:p>
      <w:pPr>
        <w:spacing w:after="0" w:before="1800"/>
      </w:pPr>
      <w:r>
        <w:rPr>
          <w:sz w:val="2"/>
          <w:szCs w:val="2"/>
        </w:rPr>
        <w:t xml:space="preserve"/>
      </w:r>
    </w:p>
    <w:p>
      <w:pPr>
        <w:pBdr>
          <w:bottom w:val="single" w:color="00AFCB" w:sz="18" w:space="8"/>
        </w:pBdr>
        <w:spacing w:after="200"/>
      </w:pPr>
      <w:r>
        <w:t xml:space="preserve"/>
      </w:r>
    </w:p>
    <w:p>
      <w:pPr>
        <w:spacing w:after="200"/>
        <w:jc w:val="left"/>
      </w:pPr>
      <w:r>
        <w:drawing>
          <wp:inline distT="0" distB="0" distL="0" distR="0">
            <wp:extent cx="1428750" cy="1571625"/>
            <wp:effectExtent t="0" r="0" b="0" l="0"/>
            <wp:docPr id="1" name="AZLO símbolo" descr="Monograma A/Z AZLO" title="AZLO símbo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Sora" w:cs="Sora" w:eastAsia="Sora" w:hAnsi="Sora"/>
          <w:b/>
          <w:bCs/>
          <w:color w:val="052B57"/>
          <w:sz w:val="30"/>
          <w:szCs w:val="30"/>
        </w:rPr>
        <w:t xml:space="preserve">Do Alpha ao Zenith.</w:t>
      </w:r>
    </w:p>
    <w:p>
      <w:pPr>
        <w:spacing w:after="240"/>
      </w:pPr>
      <w:r>
        <w:rPr>
          <w:rFonts w:ascii="Inter" w:cs="Inter" w:eastAsia="Inter" w:hAnsi="Inter"/>
          <w:i/>
          <w:iCs/>
          <w:color w:val="5B6770"/>
          <w:sz w:val="22"/>
          <w:szCs w:val="22"/>
        </w:rPr>
        <w:t xml:space="preserve">Método como base. Performance como consequência.</w:t>
      </w:r>
    </w:p>
    <w:p>
      <w:pPr>
        <w:pBdr>
          <w:top w:val="single" w:color="D5E2EC" w:sz="6" w:space="6"/>
        </w:pBdr>
        <w:spacing w:before="200"/>
      </w:pPr>
      <w:r>
        <w:rPr>
          <w:rFonts w:ascii="Inter" w:cs="Inter" w:eastAsia="Inter" w:hAnsi="Inter"/>
          <w:color w:val="5B6770"/>
          <w:sz w:val="17"/>
          <w:szCs w:val="17"/>
        </w:rPr>
        <w:t xml:space="preserve">Brand Book v3.0  ·  AZLO — Alpha Zenith Life Optimization  ·  Documento operacional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2EC" w:sz="4" w:space="6"/>
      </w:pBdr>
      <w:tabs>
        <w:tab w:val="right" w:pos="9360"/>
      </w:tabs>
    </w:pPr>
    <w:r>
      <w:rPr>
        <w:rFonts w:ascii="Inter" w:cs="Inter" w:eastAsia="Inter" w:hAnsi="Inter"/>
        <w:color w:val="5B6770"/>
        <w:sz w:val="15"/>
        <w:szCs w:val="15"/>
      </w:rPr>
      <w:t xml:space="preserve">AZLO — Alpha Zenith Life Optimization</w:t>
    </w:r>
    <w:r>
      <w:rPr>
        <w:sz w:val="15"/>
        <w:szCs w:val="15"/>
      </w:rPr>
      <w:t xml:space="preserve">	</w:t>
    </w:r>
    <w:r>
      <w:rPr>
        <w:rFonts w:ascii="Inter" w:cs="Inter" w:eastAsia="Inter" w:hAnsi="Inter"/>
        <w:color w:val="5B6770"/>
        <w:sz w:val="15"/>
        <w:szCs w:val="15"/>
      </w:rPr>
      <w:t xml:space="preserve">Brand Book v3.0  ·  </w:t>
    </w:r>
    <w:r>
      <w:rPr>
        <w:rFonts w:ascii="Inter" w:cs="Inter" w:eastAsia="Inter" w:hAnsi="Inter"/>
        <w:b/>
        <w:bCs/>
        <w:color w:val="052B5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0AFC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60"/>
      <w:outlineLvl w:val="0"/>
    </w:pPr>
    <w:rPr>
      <w:rFonts w:ascii="Sora" w:cs="Sora" w:eastAsia="Sora" w:hAnsi="Sora"/>
      <w:b/>
      <w:bCs/>
      <w:color w:val="052B5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Sora" w:cs="Sora" w:eastAsia="Sora" w:hAnsi="Sora"/>
      <w:b/>
      <w:bCs/>
      <w:color w:val="052B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6035d031dfd0ba284902739f0503819c9c1bbb0.png"/><Relationship Id="rId9" Type="http://schemas.openxmlformats.org/officeDocument/2006/relationships/image" Target="media/0a2e103f4382d4f602016272c7a6bd6d6710fe2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AZLO Brand Book v3.0</dc:title>
  <dc:creator>AZLO</dc:creator>
  <cp:lastModifiedBy>Un-named</cp:lastModifiedBy>
  <cp:revision>1</cp:revision>
  <dcterms:created xsi:type="dcterms:W3CDTF">2026-06-25T16:28:51.712Z</dcterms:created>
  <dcterms:modified xsi:type="dcterms:W3CDTF">2026-06-25T16:28:51.712Z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