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59E0B"/>
          <w:sz w:val="24"/>
        </w:rPr>
        <w:t>HIRNA MOBILITY SOLUTIONS INC.</w:t>
        <w:br/>
      </w:r>
      <w:r>
        <w:rPr>
          <w:rFonts w:ascii="Arial" w:hAnsi="Arial"/>
          <w:b/>
          <w:color w:val="CE2029"/>
          <w:sz w:val="40"/>
        </w:rPr>
        <w:t>SYSTEM ARCHITECTURE &amp; MODULE INTEGRATION PROCESS</w:t>
      </w:r>
    </w:p>
    <w:p>
      <w:pPr>
        <w:jc w:val="center"/>
      </w:pPr>
      <w:r>
        <w:rPr>
          <w:rFonts w:ascii="Arial" w:hAnsi="Arial"/>
          <w:i/>
          <w:color w:val="7F1D1D"/>
          <w:sz w:val="22"/>
        </w:rPr>
        <w:t>Team 7: Fleet and Transportation Management System with AI-Based Fuel Consumption Prediction and Transport Cost Analysis</w:t>
        <w:br/>
      </w:r>
    </w:p>
    <w:p>
      <w:pPr>
        <w:spacing w:after="240"/>
      </w:pPr>
    </w:p>
    <w:p>
      <w:pPr>
        <w:spacing w:before="360" w:after="120"/>
      </w:pPr>
      <w:r>
        <w:rPr>
          <w:rFonts w:ascii="Arial" w:hAnsi="Arial"/>
          <w:b/>
          <w:color w:val="CE2029"/>
          <w:sz w:val="28"/>
        </w:rPr>
        <w:t>1. EXECUTIVE SUMMARY &amp; OVERALL SYSTEM PROCESS</w:t>
      </w:r>
    </w:p>
    <w:p>
      <w:pPr>
        <w:spacing w:after="120" w:line="276" w:lineRule="auto"/>
      </w:pPr>
      <w:r>
        <w:rPr>
          <w:rFonts w:ascii="Arial" w:hAnsi="Arial"/>
          <w:color w:val="282828"/>
          <w:sz w:val="22"/>
        </w:rPr>
        <w:t>The Fleet and Transportation Management System (Team 7) for Hirna Mobility Solutions Inc. operates as a unified, closed-loop enterprise platform. It automates the entire vehicle lifecycle—from driver onboarding and vehicle dispatch to live Leaflet GPS telematics tracking, AI-based multi-fuel prediction, preventive maintenance logging, and real-time Transport Cost Analysis &amp; Optimization (TCAO).</w:t>
      </w:r>
    </w:p>
    <w:p>
      <w:pPr>
        <w:spacing w:after="120" w:line="276" w:lineRule="auto"/>
      </w:pPr>
      <w:r>
        <w:rPr>
          <w:rFonts w:ascii="Arial" w:hAnsi="Arial"/>
          <w:color w:val="282828"/>
          <w:sz w:val="22"/>
        </w:rPr>
        <w:t>By continuously synthesizing live telemetry streams with historical vehicle databases, the system replaces manual spreadsheet tracking with automated data pipelines. It supports multi-fuel operations, including Gasoline (Gas), Diesel, and Electric Vehicles (EVs), as well as Hirna Traysikel 3-wheelers across Metro Manila and Davao transit corridors.</w:t>
      </w:r>
    </w:p>
    <w:p>
      <w:pPr>
        <w:spacing w:before="360" w:after="120"/>
      </w:pPr>
      <w:r>
        <w:rPr>
          <w:rFonts w:ascii="Arial" w:hAnsi="Arial"/>
          <w:b/>
          <w:color w:val="CE2029"/>
          <w:sz w:val="28"/>
        </w:rPr>
        <w:t>2. INTERNAL MODULE INTERCONNECTIONS (TEAM 7)</w:t>
      </w:r>
    </w:p>
    <w:p>
      <w:pPr>
        <w:spacing w:after="120" w:line="276" w:lineRule="auto"/>
      </w:pPr>
      <w:r>
        <w:rPr>
          <w:rFonts w:ascii="Arial" w:hAnsi="Arial"/>
          <w:color w:val="282828"/>
          <w:sz w:val="22"/>
        </w:rPr>
        <w:t>Team 7 consists of seven core modules that communicate dynamically to ensure operational transparency and financial precision: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CE2029"/>
          </w:tcPr>
          <w:p>
            <w:r>
              <w:rPr>
                <w:b/>
                <w:color w:val="FFFFFF"/>
              </w:rPr>
              <w:t>Module Name</w:t>
            </w:r>
          </w:p>
        </w:tc>
        <w:tc>
          <w:tcPr>
            <w:tcW w:type="dxa" w:w="3120"/>
            <w:shd w:fill="CE2029"/>
          </w:tcPr>
          <w:p>
            <w:r>
              <w:rPr>
                <w:b/>
                <w:color w:val="FFFFFF"/>
              </w:rPr>
              <w:t>Primary Function</w:t>
            </w:r>
          </w:p>
        </w:tc>
        <w:tc>
          <w:tcPr>
            <w:tcW w:type="dxa" w:w="3120"/>
            <w:shd w:fill="CE2029"/>
          </w:tcPr>
          <w:p>
            <w:r>
              <w:rPr>
                <w:b/>
                <w:color w:val="FFFFFF"/>
              </w:rPr>
              <w:t>Internal System Connections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1. Fleet &amp; Vehicle Management (FVM)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Central registry for vehicles (Sedans, SUVs, Vans, Traysikel, EVs) &amp; driver profiles.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Feeds vehicle status (Active, Maintenance, Offline) to Reservation &amp; Dispatch.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2. Vehicle Reservation &amp; Dispatch (VRD)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Pairs available vehicles with drivers and manages 2-step reservation approvals.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Sends trip coordinates and Booking Reference IDs to Route Planning and Live GPS Telemetry.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3. Route Planning &amp; Optimization (RPO)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Calculates 3 eco-route options (Eco, Highway, City Bypass) for Gas, Diesel, &amp; EV.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Sends estimated distance and traffic congestion levels to the AI Fuel Predictor engine.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4. Driver &amp; Trip Performance (DTPM)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Tracks live GPS speed, idling time, and penalizes driver safety scores (100% baseline).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Triggers maintenance alerts to PMS when recurring speeding or harsh braking events occur.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5. Fuel Management System (FMS)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Logs refueling/charging events, stores unit prices (₱/L or ₱/kWh), and trains ML model.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Feeds real-time fuel and energy expenditure data to the Transport Cost Analysis engine.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6. Preventive Maintenance (PMS)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Schedules tune-ups, logs repair expenses, and manages service statuses.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Automatically updates vehicle status to 'Maintenance' when service begins, and 'Active' when completed.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7. Transport Cost Analysis (TCAO)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Central financial dashboard calculating Cost-Per-KM (CPK), net profits, and PDF audits.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Aggregates fuel logs, trip distances, and PMS repair costs from all upstream modules.</w:t>
            </w:r>
          </w:p>
        </w:tc>
      </w:tr>
    </w:tbl>
    <w:p>
      <w:pPr>
        <w:spacing w:after="240"/>
      </w:pPr>
    </w:p>
    <w:p>
      <w:pPr>
        <w:spacing w:before="360" w:after="120"/>
      </w:pPr>
      <w:r>
        <w:rPr>
          <w:rFonts w:ascii="Arial" w:hAnsi="Arial"/>
          <w:b/>
          <w:color w:val="CE2029"/>
          <w:sz w:val="28"/>
        </w:rPr>
        <w:t>3. EXTERNAL PEER INTEGRATION PIPELINES (TEAMS 5, 6, 8, 9, &amp; 10)</w:t>
      </w:r>
    </w:p>
    <w:p>
      <w:pPr>
        <w:spacing w:after="120" w:line="276" w:lineRule="auto"/>
      </w:pPr>
      <w:r>
        <w:rPr>
          <w:rFonts w:ascii="Arial" w:hAnsi="Arial"/>
          <w:color w:val="282828"/>
          <w:sz w:val="22"/>
        </w:rPr>
        <w:t>Team 7 integrates seamlessly with five peer enterprise systems via automated RESTful APIs (/api/v1/*) to enable end-to-end enterprise synchronization: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7F1D1D"/>
          </w:tcPr>
          <w:p>
            <w:r>
              <w:rPr>
                <w:b/>
                <w:color w:val="FFFFFF"/>
              </w:rPr>
              <w:t>Peer System</w:t>
            </w:r>
          </w:p>
        </w:tc>
        <w:tc>
          <w:tcPr>
            <w:tcW w:type="dxa" w:w="3120"/>
            <w:shd w:fill="7F1D1D"/>
          </w:tcPr>
          <w:p>
            <w:r>
              <w:rPr>
                <w:b/>
                <w:color w:val="FFFFFF"/>
              </w:rPr>
              <w:t>API Endpoint</w:t>
            </w:r>
          </w:p>
        </w:tc>
        <w:tc>
          <w:tcPr>
            <w:tcW w:type="dxa" w:w="3120"/>
            <w:shd w:fill="7F1D1D"/>
          </w:tcPr>
          <w:p>
            <w:r>
              <w:rPr>
                <w:b/>
                <w:color w:val="FFFFFF"/>
              </w:rPr>
              <w:t>Integration Workflow &amp; Data Exchange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Team 9: HRMS &amp; Payroll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/api/v1/hrms/*</w:t>
              <w:br/>
              <w:t>/api/v1/payroll/*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Verifies driver licenses and employment status. Exports monthly Driver Eco-Safety Scores (100% baseline) for payroll performance bonuses or penalties.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Team 10: CRM &amp; Passenger Portal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/api/v1/crm/*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Receives passenger booking requests from Team 10, pairs an available driver/vehicle, and pushes live trip dispatch status back to the CRM.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Team 5: Financials AP/GL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/api/v1/finance/*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Pushes all logged fuel purchases (Gas/Diesel) and EV charging expenses to Team 5 General Ledger (GL). Sends maintenance invoices to Accounts Payable (AP).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Team 6: Supply Chain (PR)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/api/v1/supply-chain/*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Automatically generates Purchase Requisitions (PR) for replacement vehicle spare parts (brake pads, oil, tires) when PMS maintenance is scheduled.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Team 8: Facilities &amp; Hubs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/api/v1/facilities/*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Syncs transit hub coordinates (Manila Port, NAIA, BGC, Davao Hubs) and reserves depot charging station bays for fleet vehicles.</w:t>
            </w:r>
          </w:p>
        </w:tc>
      </w:tr>
    </w:tbl>
    <w:p>
      <w:pPr>
        <w:spacing w:after="240"/>
      </w:pPr>
    </w:p>
    <w:p>
      <w:pPr>
        <w:spacing w:before="360" w:after="120"/>
      </w:pPr>
      <w:r>
        <w:rPr>
          <w:rFonts w:ascii="Arial" w:hAnsi="Arial"/>
          <w:b/>
          <w:color w:val="CE2029"/>
          <w:sz w:val="28"/>
        </w:rPr>
        <w:t>4. STRATEGIC SYSTEM ADVANTAGES FOR HIRNA MOBILITY</w:t>
      </w:r>
    </w:p>
    <w:p>
      <w:pPr>
        <w:spacing w:after="120" w:line="276" w:lineRule="auto"/>
      </w:pPr>
      <w:r>
        <w:rPr>
          <w:rFonts w:ascii="Arial" w:hAnsi="Arial"/>
          <w:color w:val="282828"/>
          <w:sz w:val="22"/>
        </w:rPr>
        <w:t>• 100% Dynamic Operations: Eliminates manual spreadsheets through automated RESTful API pipelines and live database updates.</w:t>
      </w:r>
    </w:p>
    <w:p>
      <w:pPr>
        <w:spacing w:after="120" w:line="276" w:lineRule="auto"/>
      </w:pPr>
      <w:r>
        <w:rPr>
          <w:rFonts w:ascii="Arial" w:hAnsi="Arial"/>
          <w:color w:val="282828"/>
          <w:sz w:val="22"/>
        </w:rPr>
        <w:t>• Multi-Fuel &amp; 3-Wheeler Versatility: Supports Taxis (Gasoline/Diesel), VinFast EVs, and Hirna Traysikel 3-wheelers with custom fuel consumption multipliers.</w:t>
      </w:r>
    </w:p>
    <w:p>
      <w:pPr>
        <w:spacing w:after="120" w:line="276" w:lineRule="auto"/>
      </w:pPr>
      <w:r>
        <w:rPr>
          <w:rFonts w:ascii="Arial" w:hAnsi="Arial"/>
          <w:color w:val="282828"/>
          <w:sz w:val="22"/>
        </w:rPr>
        <w:t>• Data-Driven Cost Optimization: Equips managers with real-time Cost-Per-KM (CPK), trip profit margins, and exportable CSV/PDF audit summaries.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