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64E3B"/>
          <w:sz w:val="48"/>
        </w:rPr>
        <w:t>GREEN GSM FLEET MANAGEMENT SYSTEM</w:t>
      </w:r>
    </w:p>
    <w:p>
      <w:pPr>
        <w:jc w:val="center"/>
      </w:pPr>
      <w:r>
        <w:rPr>
          <w:rFonts w:ascii="Arial" w:hAnsi="Arial"/>
          <w:i/>
          <w:color w:val="10B981"/>
          <w:sz w:val="26"/>
        </w:rPr>
        <w:t>Enterprise System Architecture, Technology Stack &amp; Inter-System Integration Documentation</w:t>
      </w:r>
    </w:p>
    <w:p>
      <w:pPr>
        <w:jc w:val="center"/>
      </w:pPr>
      <w:r>
        <w:rPr>
          <w:rFonts w:ascii="Arial" w:hAnsi="Arial"/>
          <w:color w:val="475569"/>
          <w:sz w:val="20"/>
        </w:rPr>
        <w:t>Team 7: Fleet &amp; Transportation Management System • Capstone 2026</w:t>
      </w:r>
    </w:p>
    <w:p>
      <w:pPr>
        <w:spacing w:after="240"/>
      </w:pPr>
    </w:p>
    <w:p>
      <w:pPr>
        <w:pStyle w:val="Heading1"/>
      </w:pPr>
      <w:r>
        <w:rPr>
          <w:rFonts w:ascii="Arial" w:hAnsi="Arial"/>
          <w:color w:val="064E3B"/>
        </w:rPr>
        <w:t>1. System Overview &amp; Project Scope</w:t>
      </w:r>
    </w:p>
    <w:p>
      <w:r>
        <w:t>The Green GSM Fleet &amp; Transportation Management System (Team 7) is a modern, enterprise-grade web application designed to manage, track, dispatch, and optimize a 100% all-electric VinFast vehicle fleet across Metro Manila. The system replaces traditional fuel tracking with Kilowatt-Hour (kWh) electric energy analytics, real-time Leaflet GPS telemetry, and native PHP Machine Learning (Gradient Descent) for energy prediction and transport cost optimization.</w:t>
      </w:r>
    </w:p>
    <w:p>
      <w:r>
        <w:rPr>
          <w:b/>
        </w:rPr>
        <w:t>Core Sub-System Scope (Team 7 Modules):</w:t>
        <w:br/>
      </w:r>
    </w:p>
    <w:p>
      <w:pPr>
        <w:pStyle w:val="ListBullet"/>
      </w:pPr>
      <w:r>
        <w:rPr>
          <w:rFonts w:ascii="Arial" w:hAnsi="Arial"/>
          <w:sz w:val="21"/>
        </w:rPr>
        <w:t>Fleet &amp; Vehicle Management (FVM): Inventory, battery capacity tracking, and VinFast EV model management (Nerio Green, VF 8, VF e34, VF 5, VF 9).</w:t>
      </w:r>
    </w:p>
    <w:p>
      <w:pPr>
        <w:pStyle w:val="ListBullet"/>
      </w:pPr>
      <w:r>
        <w:rPr>
          <w:rFonts w:ascii="Arial" w:hAnsi="Arial"/>
          <w:sz w:val="21"/>
        </w:rPr>
        <w:t>Vehicle Reservation &amp; Dispatch System (VRDS): Automated vehicle and driver assignment for passenger and logistics dispatches.</w:t>
      </w:r>
    </w:p>
    <w:p>
      <w:pPr>
        <w:pStyle w:val="ListBullet"/>
      </w:pPr>
      <w:r>
        <w:rPr>
          <w:rFonts w:ascii="Arial" w:hAnsi="Arial"/>
          <w:sz w:val="21"/>
        </w:rPr>
        <w:t>Driver &amp; Trip Performance Monitoring: Real-time Leaflet GPS telemetry tracking, speed monitoring, harsh braking alerts, and safety scoring (0-100%).</w:t>
      </w:r>
    </w:p>
    <w:p>
      <w:pPr>
        <w:pStyle w:val="ListBullet"/>
      </w:pPr>
      <w:r>
        <w:rPr>
          <w:rFonts w:ascii="Arial" w:hAnsi="Arial"/>
          <w:sz w:val="21"/>
        </w:rPr>
        <w:t>Fuel &amp; EV Energy Management: Electric energy consumption (kWh) tracking, charging station logs, and battery degradation analytics.</w:t>
      </w:r>
    </w:p>
    <w:p>
      <w:pPr>
        <w:pStyle w:val="ListBullet"/>
      </w:pPr>
      <w:r>
        <w:rPr>
          <w:rFonts w:ascii="Arial" w:hAnsi="Arial"/>
          <w:sz w:val="21"/>
        </w:rPr>
        <w:t>Transport Cost Analysis &amp; Optimization (TCAO): Fleet operational cost breakdown per kilometer, maintenance expense tracking, and AI financial insights.</w:t>
      </w:r>
    </w:p>
    <w:p>
      <w:pPr>
        <w:pStyle w:val="ListBullet"/>
      </w:pPr>
      <w:r>
        <w:rPr>
          <w:rFonts w:ascii="Arial" w:hAnsi="Arial"/>
          <w:sz w:val="21"/>
        </w:rPr>
        <w:t>Route Planning &amp; Optimization: Haversine distance calculations and traffic congestion delay simulation across Metro Manila hubs.</w:t>
      </w:r>
    </w:p>
    <w:p>
      <w:pPr>
        <w:spacing w:after="240"/>
      </w:pPr>
    </w:p>
    <w:p>
      <w:pPr>
        <w:pStyle w:val="Heading1"/>
      </w:pPr>
      <w:r>
        <w:rPr>
          <w:rFonts w:ascii="Arial" w:hAnsi="Arial"/>
          <w:color w:val="064E3B"/>
        </w:rPr>
        <w:t>2. Complete Technology Stack &amp; Framework Breakdown</w:t>
      </w:r>
    </w:p>
    <w:tbl>
      <w:tblPr>
        <w:tblW w:type="auto" w:w="0"/>
        <w:jc w:val="center"/>
        <w:tblLook w:firstColumn="1" w:firstRow="1" w:lastColumn="0" w:lastRow="0" w:noHBand="0" w:noVBand="1" w:val="04A0"/>
      </w:tblPr>
      <w:tblGrid>
        <w:gridCol w:w="3120"/>
        <w:gridCol w:w="3120"/>
        <w:gridCol w:w="3120"/>
      </w:tblGrid>
      <w:tr>
        <w:tc>
          <w:tcPr>
            <w:tcW w:type="dxa" w:w="3120"/>
            <w:shd w:fill="064E3B"/>
          </w:tcPr>
          <w:p>
            <w:r>
              <w:rPr>
                <w:b/>
                <w:color w:val="FFFFFF"/>
              </w:rPr>
              <w:t>Component Layer</w:t>
            </w:r>
          </w:p>
        </w:tc>
        <w:tc>
          <w:tcPr>
            <w:tcW w:type="dxa" w:w="3120"/>
            <w:shd w:fill="064E3B"/>
          </w:tcPr>
          <w:p>
            <w:r>
              <w:rPr>
                <w:b/>
                <w:color w:val="FFFFFF"/>
              </w:rPr>
              <w:t>Technology / Framework Used</w:t>
            </w:r>
          </w:p>
        </w:tc>
        <w:tc>
          <w:tcPr>
            <w:tcW w:type="dxa" w:w="3120"/>
            <w:shd w:fill="064E3B"/>
          </w:tcPr>
          <w:p>
            <w:r>
              <w:rPr>
                <w:b/>
                <w:color w:val="FFFFFF"/>
              </w:rPr>
              <w:t>Purpose &amp; Architectural Role</w:t>
            </w:r>
          </w:p>
        </w:tc>
      </w:tr>
      <w:tr>
        <w:tc>
          <w:tcPr>
            <w:tcW w:type="dxa" w:w="3120"/>
            <w:tcMar>
              <w:top w:w="100" w:type="dxa"/>
              <w:bottom w:w="100" w:type="dxa"/>
              <w:left w:w="150" w:type="dxa"/>
              <w:right w:w="150" w:type="dxa"/>
            </w:tcMar>
          </w:tcPr>
          <w:p>
            <w:r>
              <w:t>Backend Framework</w:t>
            </w:r>
          </w:p>
        </w:tc>
        <w:tc>
          <w:tcPr>
            <w:tcW w:type="dxa" w:w="3120"/>
            <w:tcMar>
              <w:top w:w="100" w:type="dxa"/>
              <w:bottom w:w="100" w:type="dxa"/>
              <w:left w:w="150" w:type="dxa"/>
              <w:right w:w="150" w:type="dxa"/>
            </w:tcMar>
          </w:tcPr>
          <w:p>
            <w:r>
              <w:t>Laravel 12 (PHP 8.2+)</w:t>
            </w:r>
          </w:p>
        </w:tc>
        <w:tc>
          <w:tcPr>
            <w:tcW w:type="dxa" w:w="3120"/>
            <w:tcMar>
              <w:top w:w="100" w:type="dxa"/>
              <w:bottom w:w="100" w:type="dxa"/>
              <w:left w:w="150" w:type="dxa"/>
              <w:right w:w="150" w:type="dxa"/>
            </w:tcMar>
          </w:tcPr>
          <w:p>
            <w:r>
              <w:t>MVC Architecture, RESTful API routing, Eloquent ORM, and middleware RBAC security.</w:t>
            </w:r>
          </w:p>
        </w:tc>
      </w:tr>
      <w:tr>
        <w:tc>
          <w:tcPr>
            <w:tcW w:type="dxa" w:w="3120"/>
            <w:tcMar>
              <w:top w:w="100" w:type="dxa"/>
              <w:bottom w:w="100" w:type="dxa"/>
              <w:left w:w="150" w:type="dxa"/>
              <w:right w:w="150" w:type="dxa"/>
            </w:tcMar>
          </w:tcPr>
          <w:p>
            <w:r>
              <w:t>Frontend &amp; Styling</w:t>
            </w:r>
          </w:p>
        </w:tc>
        <w:tc>
          <w:tcPr>
            <w:tcW w:type="dxa" w:w="3120"/>
            <w:tcMar>
              <w:top w:w="100" w:type="dxa"/>
              <w:bottom w:w="100" w:type="dxa"/>
              <w:left w:w="150" w:type="dxa"/>
              <w:right w:w="150" w:type="dxa"/>
            </w:tcMar>
          </w:tcPr>
          <w:p>
            <w:r>
              <w:t>Bootstrap 5.3 &amp; Vanilla JS</w:t>
            </w:r>
          </w:p>
        </w:tc>
        <w:tc>
          <w:tcPr>
            <w:tcW w:type="dxa" w:w="3120"/>
            <w:tcMar>
              <w:top w:w="100" w:type="dxa"/>
              <w:bottom w:w="100" w:type="dxa"/>
              <w:left w:w="150" w:type="dxa"/>
              <w:right w:w="150" w:type="dxa"/>
            </w:tcMar>
          </w:tcPr>
          <w:p>
            <w:r>
              <w:t>Responsive Mint Green system design, offcanvas mobile drawer, and AJAX dynamic page rendering.</w:t>
            </w:r>
          </w:p>
        </w:tc>
      </w:tr>
      <w:tr>
        <w:tc>
          <w:tcPr>
            <w:tcW w:type="dxa" w:w="3120"/>
            <w:tcMar>
              <w:top w:w="100" w:type="dxa"/>
              <w:bottom w:w="100" w:type="dxa"/>
              <w:left w:w="150" w:type="dxa"/>
              <w:right w:w="150" w:type="dxa"/>
            </w:tcMar>
          </w:tcPr>
          <w:p>
            <w:r>
              <w:t>SPA Tab Engine</w:t>
            </w:r>
          </w:p>
        </w:tc>
        <w:tc>
          <w:tcPr>
            <w:tcW w:type="dxa" w:w="3120"/>
            <w:tcMar>
              <w:top w:w="100" w:type="dxa"/>
              <w:bottom w:w="100" w:type="dxa"/>
              <w:left w:w="150" w:type="dxa"/>
              <w:right w:w="150" w:type="dxa"/>
            </w:tcMar>
          </w:tcPr>
          <w:p>
            <w:r>
              <w:t>Custom Client-Side JS Cache</w:t>
            </w:r>
          </w:p>
        </w:tc>
        <w:tc>
          <w:tcPr>
            <w:tcW w:type="dxa" w:w="3120"/>
            <w:tcMar>
              <w:top w:w="100" w:type="dxa"/>
              <w:bottom w:w="100" w:type="dxa"/>
              <w:left w:w="150" w:type="dxa"/>
              <w:right w:w="150" w:type="dxa"/>
            </w:tcMar>
          </w:tcPr>
          <w:p>
            <w:r>
              <w:t>Instant SPA tab transitions without full page reloads, using HTML5 pushState API.</w:t>
            </w:r>
          </w:p>
        </w:tc>
      </w:tr>
      <w:tr>
        <w:tc>
          <w:tcPr>
            <w:tcW w:type="dxa" w:w="3120"/>
            <w:tcMar>
              <w:top w:w="100" w:type="dxa"/>
              <w:bottom w:w="100" w:type="dxa"/>
              <w:left w:w="150" w:type="dxa"/>
              <w:right w:w="150" w:type="dxa"/>
            </w:tcMar>
          </w:tcPr>
          <w:p>
            <w:r>
              <w:t>GPS &amp; Mapping</w:t>
            </w:r>
          </w:p>
        </w:tc>
        <w:tc>
          <w:tcPr>
            <w:tcW w:type="dxa" w:w="3120"/>
            <w:tcMar>
              <w:top w:w="100" w:type="dxa"/>
              <w:bottom w:w="100" w:type="dxa"/>
              <w:left w:w="150" w:type="dxa"/>
              <w:right w:w="150" w:type="dxa"/>
            </w:tcMar>
          </w:tcPr>
          <w:p>
            <w:r>
              <w:t>Leaflet.js &amp; OpenStreetMap</w:t>
            </w:r>
          </w:p>
        </w:tc>
        <w:tc>
          <w:tcPr>
            <w:tcW w:type="dxa" w:w="3120"/>
            <w:tcMar>
              <w:top w:w="100" w:type="dxa"/>
              <w:bottom w:w="100" w:type="dxa"/>
              <w:left w:w="150" w:type="dxa"/>
              <w:right w:w="150" w:type="dxa"/>
            </w:tcMar>
          </w:tcPr>
          <w:p>
            <w:r>
              <w:t>Interactive Metro Manila map, real-time Leaflet EV marker tracking, and polyline breadcrumb trails.</w:t>
            </w:r>
          </w:p>
        </w:tc>
      </w:tr>
      <w:tr>
        <w:tc>
          <w:tcPr>
            <w:tcW w:type="dxa" w:w="3120"/>
            <w:tcMar>
              <w:top w:w="100" w:type="dxa"/>
              <w:bottom w:w="100" w:type="dxa"/>
              <w:left w:w="150" w:type="dxa"/>
              <w:right w:w="150" w:type="dxa"/>
            </w:tcMar>
          </w:tcPr>
          <w:p>
            <w:r>
              <w:t>Analytics &amp; Charts</w:t>
            </w:r>
          </w:p>
        </w:tc>
        <w:tc>
          <w:tcPr>
            <w:tcW w:type="dxa" w:w="3120"/>
            <w:tcMar>
              <w:top w:w="100" w:type="dxa"/>
              <w:bottom w:w="100" w:type="dxa"/>
              <w:left w:w="150" w:type="dxa"/>
              <w:right w:w="150" w:type="dxa"/>
            </w:tcMar>
          </w:tcPr>
          <w:p>
            <w:r>
              <w:t>Chart.js</w:t>
            </w:r>
          </w:p>
        </w:tc>
        <w:tc>
          <w:tcPr>
            <w:tcW w:type="dxa" w:w="3120"/>
            <w:tcMar>
              <w:top w:w="100" w:type="dxa"/>
              <w:bottom w:w="100" w:type="dxa"/>
              <w:left w:w="150" w:type="dxa"/>
              <w:right w:w="150" w:type="dxa"/>
            </w:tcMar>
          </w:tcPr>
          <w:p>
            <w:r>
              <w:t>Live telemetry charts, kWh energy expense trends, and TCAO financial analytics.</w:t>
            </w:r>
          </w:p>
        </w:tc>
      </w:tr>
      <w:tr>
        <w:tc>
          <w:tcPr>
            <w:tcW w:type="dxa" w:w="3120"/>
            <w:tcMar>
              <w:top w:w="100" w:type="dxa"/>
              <w:bottom w:w="100" w:type="dxa"/>
              <w:left w:w="150" w:type="dxa"/>
              <w:right w:w="150" w:type="dxa"/>
            </w:tcMar>
          </w:tcPr>
          <w:p>
            <w:r>
              <w:t>AI / ML Engine</w:t>
            </w:r>
          </w:p>
        </w:tc>
        <w:tc>
          <w:tcPr>
            <w:tcW w:type="dxa" w:w="3120"/>
            <w:tcMar>
              <w:top w:w="100" w:type="dxa"/>
              <w:bottom w:w="100" w:type="dxa"/>
              <w:left w:w="150" w:type="dxa"/>
              <w:right w:w="150" w:type="dxa"/>
            </w:tcMar>
          </w:tcPr>
          <w:p>
            <w:r>
              <w:t>Native PHP Machine Learning</w:t>
            </w:r>
          </w:p>
        </w:tc>
        <w:tc>
          <w:tcPr>
            <w:tcW w:type="dxa" w:w="3120"/>
            <w:tcMar>
              <w:top w:w="100" w:type="dxa"/>
              <w:bottom w:w="100" w:type="dxa"/>
              <w:left w:w="150" w:type="dxa"/>
              <w:right w:w="150" w:type="dxa"/>
            </w:tcMar>
          </w:tcPr>
          <w:p>
            <w:r>
              <w:t>Multivariable Linear Regression &amp; Gradient Descent for kWh battery energy prediction.</w:t>
            </w:r>
          </w:p>
        </w:tc>
      </w:tr>
      <w:tr>
        <w:tc>
          <w:tcPr>
            <w:tcW w:type="dxa" w:w="3120"/>
            <w:tcMar>
              <w:top w:w="100" w:type="dxa"/>
              <w:bottom w:w="100" w:type="dxa"/>
              <w:left w:w="150" w:type="dxa"/>
              <w:right w:w="150" w:type="dxa"/>
            </w:tcMar>
          </w:tcPr>
          <w:p>
            <w:r>
              <w:t>Database Layer</w:t>
            </w:r>
          </w:p>
        </w:tc>
        <w:tc>
          <w:tcPr>
            <w:tcW w:type="dxa" w:w="3120"/>
            <w:tcMar>
              <w:top w:w="100" w:type="dxa"/>
              <w:bottom w:w="100" w:type="dxa"/>
              <w:left w:w="150" w:type="dxa"/>
              <w:right w:w="150" w:type="dxa"/>
            </w:tcMar>
          </w:tcPr>
          <w:p>
            <w:r>
              <w:t>MySQL 8.0 &amp; SQLite</w:t>
            </w:r>
          </w:p>
        </w:tc>
        <w:tc>
          <w:tcPr>
            <w:tcW w:type="dxa" w:w="3120"/>
            <w:tcMar>
              <w:top w:w="100" w:type="dxa"/>
              <w:bottom w:w="100" w:type="dxa"/>
              <w:left w:w="150" w:type="dxa"/>
              <w:right w:w="150" w:type="dxa"/>
            </w:tcMar>
          </w:tcPr>
          <w:p>
            <w:r>
              <w:t>Relational persistence for vehicles, drivers, trips, fuel logs, and telemetry coordinates.</w:t>
            </w:r>
          </w:p>
        </w:tc>
      </w:tr>
      <w:tr>
        <w:tc>
          <w:tcPr>
            <w:tcW w:type="dxa" w:w="3120"/>
            <w:tcMar>
              <w:top w:w="100" w:type="dxa"/>
              <w:bottom w:w="100" w:type="dxa"/>
              <w:left w:w="150" w:type="dxa"/>
              <w:right w:w="150" w:type="dxa"/>
            </w:tcMar>
          </w:tcPr>
          <w:p>
            <w:r>
              <w:t>Deployment &amp; DevOps</w:t>
            </w:r>
          </w:p>
        </w:tc>
        <w:tc>
          <w:tcPr>
            <w:tcW w:type="dxa" w:w="3120"/>
            <w:tcMar>
              <w:top w:w="100" w:type="dxa"/>
              <w:bottom w:w="100" w:type="dxa"/>
              <w:left w:w="150" w:type="dxa"/>
              <w:right w:w="150" w:type="dxa"/>
            </w:tcMar>
          </w:tcPr>
          <w:p>
            <w:r>
              <w:t>Git, GitHub &amp; Vercel</w:t>
            </w:r>
          </w:p>
        </w:tc>
        <w:tc>
          <w:tcPr>
            <w:tcW w:type="dxa" w:w="3120"/>
            <w:tcMar>
              <w:top w:w="100" w:type="dxa"/>
              <w:bottom w:w="100" w:type="dxa"/>
              <w:left w:w="150" w:type="dxa"/>
              <w:right w:w="150" w:type="dxa"/>
            </w:tcMar>
          </w:tcPr>
          <w:p>
            <w:r>
              <w:t>Version control and serverless cloud deployment with automatic SSL HTTPS enforcement.</w:t>
            </w:r>
          </w:p>
        </w:tc>
      </w:tr>
    </w:tbl>
    <w:p>
      <w:pPr>
        <w:spacing w:after="320"/>
      </w:pPr>
    </w:p>
    <w:p>
      <w:pPr>
        <w:pStyle w:val="Heading1"/>
      </w:pPr>
      <w:r>
        <w:rPr>
          <w:rFonts w:ascii="Arial" w:hAnsi="Arial"/>
          <w:color w:val="064E3B"/>
        </w:rPr>
        <w:t>3. Inter-System Integration Specifications (Teams 1 to 10)</w:t>
      </w:r>
    </w:p>
    <w:p>
      <w:r>
        <w:t>Green GSM (Team 7) acts as the core fleet telemetry and dispatch engine in the TNVS Enterprise Ecosystem. The table below details the exact integration endpoints, direction, data flow, and payloads connecting Team 7 with all 9 peer teams:</w:t>
      </w:r>
    </w:p>
    <w:tbl>
      <w:tblPr>
        <w:tblW w:type="auto" w:w="0"/>
        <w:jc w:val="center"/>
        <w:tblLook w:firstColumn="1" w:firstRow="1" w:lastColumn="0" w:lastRow="0" w:noHBand="0" w:noVBand="1" w:val="04A0"/>
      </w:tblPr>
      <w:tblGrid>
        <w:gridCol w:w="2340"/>
        <w:gridCol w:w="2340"/>
        <w:gridCol w:w="2340"/>
        <w:gridCol w:w="2340"/>
      </w:tblGrid>
      <w:tr>
        <w:tc>
          <w:tcPr>
            <w:tcW w:type="dxa" w:w="2340"/>
            <w:shd w:fill="064E3B"/>
          </w:tcPr>
          <w:p>
            <w:r>
              <w:rPr>
                <w:b/>
                <w:color w:val="FFFFFF"/>
              </w:rPr>
              <w:t>Target Ecosystem Team</w:t>
            </w:r>
          </w:p>
        </w:tc>
        <w:tc>
          <w:tcPr>
            <w:tcW w:type="dxa" w:w="2340"/>
            <w:shd w:fill="064E3B"/>
          </w:tcPr>
          <w:p>
            <w:r>
              <w:rPr>
                <w:b/>
                <w:color w:val="FFFFFF"/>
              </w:rPr>
              <w:t>Integration Direction</w:t>
            </w:r>
          </w:p>
        </w:tc>
        <w:tc>
          <w:tcPr>
            <w:tcW w:type="dxa" w:w="2340"/>
            <w:shd w:fill="064E3B"/>
          </w:tcPr>
          <w:p>
            <w:r>
              <w:rPr>
                <w:b/>
                <w:color w:val="FFFFFF"/>
              </w:rPr>
              <w:t>Data Flow &amp; Purpose</w:t>
            </w:r>
          </w:p>
        </w:tc>
        <w:tc>
          <w:tcPr>
            <w:tcW w:type="dxa" w:w="2340"/>
            <w:shd w:fill="064E3B"/>
          </w:tcPr>
          <w:p>
            <w:r>
              <w:rPr>
                <w:b/>
                <w:color w:val="FFFFFF"/>
              </w:rPr>
              <w:t>API Endpoint &amp; Sample Payload</w:t>
            </w:r>
          </w:p>
        </w:tc>
      </w:tr>
      <w:tr>
        <w:tc>
          <w:tcPr>
            <w:tcW w:type="dxa" w:w="2340"/>
            <w:tcMar>
              <w:top w:w="100" w:type="dxa"/>
              <w:bottom w:w="100" w:type="dxa"/>
              <w:left w:w="150" w:type="dxa"/>
              <w:right w:w="150" w:type="dxa"/>
            </w:tcMar>
          </w:tcPr>
          <w:p>
            <w:r>
              <w:t>Team 1: HRMS Recruitment &amp; Onboarding</w:t>
            </w:r>
          </w:p>
        </w:tc>
        <w:tc>
          <w:tcPr>
            <w:tcW w:type="dxa" w:w="2340"/>
            <w:tcMar>
              <w:top w:w="100" w:type="dxa"/>
              <w:bottom w:w="100" w:type="dxa"/>
              <w:left w:w="150" w:type="dxa"/>
              <w:right w:w="150" w:type="dxa"/>
            </w:tcMar>
          </w:tcPr>
          <w:p>
            <w:r>
              <w:t>Team 1 → Team 7</w:t>
            </w:r>
          </w:p>
        </w:tc>
        <w:tc>
          <w:tcPr>
            <w:tcW w:type="dxa" w:w="2340"/>
            <w:tcMar>
              <w:top w:w="100" w:type="dxa"/>
              <w:bottom w:w="100" w:type="dxa"/>
              <w:left w:w="150" w:type="dxa"/>
              <w:right w:w="150" w:type="dxa"/>
            </w:tcMar>
          </w:tcPr>
          <w:p>
            <w:r>
              <w:t>When Team 1 completes driver recruitment, it calls Team 7's Driver Registration API to automatically provision an active driver profile in Green GSM's driver roster.</w:t>
            </w:r>
          </w:p>
        </w:tc>
        <w:tc>
          <w:tcPr>
            <w:tcW w:type="dxa" w:w="2340"/>
            <w:tcMar>
              <w:top w:w="100" w:type="dxa"/>
              <w:bottom w:w="100" w:type="dxa"/>
              <w:left w:w="150" w:type="dxa"/>
              <w:right w:w="150" w:type="dxa"/>
            </w:tcMar>
          </w:tcPr>
          <w:p>
            <w:r>
              <w:t>POST /api/v1/drivers/register</w:t>
              <w:br/>
              <w:t>Payload: { driver_id, name, license_number, employment_status }</w:t>
            </w:r>
          </w:p>
        </w:tc>
      </w:tr>
      <w:tr>
        <w:tc>
          <w:tcPr>
            <w:tcW w:type="dxa" w:w="2340"/>
            <w:tcMar>
              <w:top w:w="100" w:type="dxa"/>
              <w:bottom w:w="100" w:type="dxa"/>
              <w:left w:w="150" w:type="dxa"/>
              <w:right w:w="150" w:type="dxa"/>
            </w:tcMar>
          </w:tcPr>
          <w:p>
            <w:r>
              <w:t>Team 2: HRMS Workforce Management</w:t>
            </w:r>
          </w:p>
        </w:tc>
        <w:tc>
          <w:tcPr>
            <w:tcW w:type="dxa" w:w="2340"/>
            <w:tcMar>
              <w:top w:w="100" w:type="dxa"/>
              <w:bottom w:w="100" w:type="dxa"/>
              <w:left w:w="150" w:type="dxa"/>
              <w:right w:w="150" w:type="dxa"/>
            </w:tcMar>
          </w:tcPr>
          <w:p>
            <w:r>
              <w:t>Team 2 → Team 7</w:t>
            </w:r>
          </w:p>
        </w:tc>
        <w:tc>
          <w:tcPr>
            <w:tcW w:type="dxa" w:w="2340"/>
            <w:tcMar>
              <w:top w:w="100" w:type="dxa"/>
              <w:bottom w:w="100" w:type="dxa"/>
              <w:left w:w="150" w:type="dxa"/>
              <w:right w:w="150" w:type="dxa"/>
            </w:tcMar>
          </w:tcPr>
          <w:p>
            <w:r>
              <w:t>Team 2 provides live shift rosters and attendance status. Team 7's VRDS auto-assignment engine verifies driver duty status before dispatching VinFast EV units.</w:t>
            </w:r>
          </w:p>
        </w:tc>
        <w:tc>
          <w:tcPr>
            <w:tcW w:type="dxa" w:w="2340"/>
            <w:tcMar>
              <w:top w:w="100" w:type="dxa"/>
              <w:bottom w:w="100" w:type="dxa"/>
              <w:left w:w="150" w:type="dxa"/>
              <w:right w:w="150" w:type="dxa"/>
            </w:tcMar>
          </w:tcPr>
          <w:p>
            <w:r>
              <w:t>GET /api/v1/workforce/shift-status/{driver_id}</w:t>
              <w:br/>
              <w:t>Response: { driver_id, is_clocked_in, shift_active, leave_status }</w:t>
            </w:r>
          </w:p>
        </w:tc>
      </w:tr>
      <w:tr>
        <w:tc>
          <w:tcPr>
            <w:tcW w:type="dxa" w:w="2340"/>
            <w:tcMar>
              <w:top w:w="100" w:type="dxa"/>
              <w:bottom w:w="100" w:type="dxa"/>
              <w:left w:w="150" w:type="dxa"/>
              <w:right w:w="150" w:type="dxa"/>
            </w:tcMar>
          </w:tcPr>
          <w:p>
            <w:r>
              <w:t>Team 3: HRMS Performance &amp; Development</w:t>
            </w:r>
          </w:p>
        </w:tc>
        <w:tc>
          <w:tcPr>
            <w:tcW w:type="dxa" w:w="2340"/>
            <w:tcMar>
              <w:top w:w="100" w:type="dxa"/>
              <w:bottom w:w="100" w:type="dxa"/>
              <w:left w:w="150" w:type="dxa"/>
              <w:right w:w="150" w:type="dxa"/>
            </w:tcMar>
          </w:tcPr>
          <w:p>
            <w:r>
              <w:t>Team 7 → Team 3</w:t>
            </w:r>
          </w:p>
        </w:tc>
        <w:tc>
          <w:tcPr>
            <w:tcW w:type="dxa" w:w="2340"/>
            <w:tcMar>
              <w:top w:w="100" w:type="dxa"/>
              <w:bottom w:w="100" w:type="dxa"/>
              <w:left w:w="150" w:type="dxa"/>
              <w:right w:w="150" w:type="dxa"/>
            </w:tcMar>
          </w:tcPr>
          <w:p>
            <w:r>
              <w:t>Team 7 streams real-time telematics scorecards (speeding events, harsh braking, idle time, safety score 0-100%) to Team 3 for evaluations and remedial training assignments.</w:t>
            </w:r>
          </w:p>
        </w:tc>
        <w:tc>
          <w:tcPr>
            <w:tcW w:type="dxa" w:w="2340"/>
            <w:tcMar>
              <w:top w:w="100" w:type="dxa"/>
              <w:bottom w:w="100" w:type="dxa"/>
              <w:left w:w="150" w:type="dxa"/>
              <w:right w:w="150" w:type="dxa"/>
            </w:tcMar>
          </w:tcPr>
          <w:p>
            <w:r>
              <w:t>POST /api/v1/performance/telematics-scorecard</w:t>
              <w:br/>
              <w:t>Payload: { driver_id, safety_score, harsh_braking_count, speeding_alerts }</w:t>
            </w:r>
          </w:p>
        </w:tc>
      </w:tr>
      <w:tr>
        <w:tc>
          <w:tcPr>
            <w:tcW w:type="dxa" w:w="2340"/>
            <w:tcMar>
              <w:top w:w="100" w:type="dxa"/>
              <w:bottom w:w="100" w:type="dxa"/>
              <w:left w:w="150" w:type="dxa"/>
              <w:right w:w="150" w:type="dxa"/>
            </w:tcMar>
          </w:tcPr>
          <w:p>
            <w:r>
              <w:t>Team 4: HRMS Payroll &amp; Benefits</w:t>
            </w:r>
          </w:p>
        </w:tc>
        <w:tc>
          <w:tcPr>
            <w:tcW w:type="dxa" w:w="2340"/>
            <w:tcMar>
              <w:top w:w="100" w:type="dxa"/>
              <w:bottom w:w="100" w:type="dxa"/>
              <w:left w:w="150" w:type="dxa"/>
              <w:right w:w="150" w:type="dxa"/>
            </w:tcMar>
          </w:tcPr>
          <w:p>
            <w:r>
              <w:t>Team 7 → Team 4</w:t>
            </w:r>
          </w:p>
        </w:tc>
        <w:tc>
          <w:tcPr>
            <w:tcW w:type="dxa" w:w="2340"/>
            <w:tcMar>
              <w:top w:w="100" w:type="dxa"/>
              <w:bottom w:w="100" w:type="dxa"/>
              <w:left w:w="150" w:type="dxa"/>
              <w:right w:w="150" w:type="dxa"/>
            </w:tcMar>
          </w:tcPr>
          <w:p>
            <w:r>
              <w:t>At the end of each payroll period, Team 7 exports total distance driven (km), completed trip counts, and night dispatches to Team 4 for salary and mileage claim calculations.</w:t>
            </w:r>
          </w:p>
        </w:tc>
        <w:tc>
          <w:tcPr>
            <w:tcW w:type="dxa" w:w="2340"/>
            <w:tcMar>
              <w:top w:w="100" w:type="dxa"/>
              <w:bottom w:w="100" w:type="dxa"/>
              <w:left w:w="150" w:type="dxa"/>
              <w:right w:w="150" w:type="dxa"/>
            </w:tcMar>
          </w:tcPr>
          <w:p>
            <w:r>
              <w:t>POST /api/v1/payroll/mileage-export</w:t>
              <w:br/>
              <w:t>Payload: { driver_id, completed_trips_count, total_distance_km, overtime_hours }</w:t>
            </w:r>
          </w:p>
        </w:tc>
      </w:tr>
      <w:tr>
        <w:tc>
          <w:tcPr>
            <w:tcW w:type="dxa" w:w="2340"/>
            <w:tcMar>
              <w:top w:w="100" w:type="dxa"/>
              <w:bottom w:w="100" w:type="dxa"/>
              <w:left w:w="150" w:type="dxa"/>
              <w:right w:w="150" w:type="dxa"/>
            </w:tcMar>
          </w:tcPr>
          <w:p>
            <w:r>
              <w:t>Team 5: Financial Management System</w:t>
            </w:r>
          </w:p>
        </w:tc>
        <w:tc>
          <w:tcPr>
            <w:tcW w:type="dxa" w:w="2340"/>
            <w:tcMar>
              <w:top w:w="100" w:type="dxa"/>
              <w:bottom w:w="100" w:type="dxa"/>
              <w:left w:w="150" w:type="dxa"/>
              <w:right w:w="150" w:type="dxa"/>
            </w:tcMar>
          </w:tcPr>
          <w:p>
            <w:r>
              <w:t>Team 7 → Team 5</w:t>
            </w:r>
          </w:p>
        </w:tc>
        <w:tc>
          <w:tcPr>
            <w:tcW w:type="dxa" w:w="2340"/>
            <w:tcMar>
              <w:top w:w="100" w:type="dxa"/>
              <w:bottom w:w="100" w:type="dxa"/>
              <w:left w:w="150" w:type="dxa"/>
              <w:right w:w="150" w:type="dxa"/>
            </w:tcMar>
          </w:tcPr>
          <w:p>
            <w:r>
              <w:t>Team 7's TCAO module exports total EV charging costs (kWh cost in ₱) and vehicle maintenance expenses to Team 5's General Ledger (GL) and Accounts Payable (AP).</w:t>
            </w:r>
          </w:p>
        </w:tc>
        <w:tc>
          <w:tcPr>
            <w:tcW w:type="dxa" w:w="2340"/>
            <w:tcMar>
              <w:top w:w="100" w:type="dxa"/>
              <w:bottom w:w="100" w:type="dxa"/>
              <w:left w:w="150" w:type="dxa"/>
              <w:right w:w="150" w:type="dxa"/>
            </w:tcMar>
          </w:tcPr>
          <w:p>
            <w:r>
              <w:t>POST /api/v1/finance/fleet-expenses</w:t>
              <w:br/>
              <w:t>Payload: { vehicle_id, charging_cost_php, maintenance_cost_php, transaction_date }</w:t>
            </w:r>
          </w:p>
        </w:tc>
      </w:tr>
      <w:tr>
        <w:tc>
          <w:tcPr>
            <w:tcW w:type="dxa" w:w="2340"/>
            <w:tcMar>
              <w:top w:w="100" w:type="dxa"/>
              <w:bottom w:w="100" w:type="dxa"/>
              <w:left w:w="150" w:type="dxa"/>
              <w:right w:w="150" w:type="dxa"/>
            </w:tcMar>
          </w:tcPr>
          <w:p>
            <w:r>
              <w:t>Team 6: Supply Chain &amp; Warehousing</w:t>
            </w:r>
          </w:p>
        </w:tc>
        <w:tc>
          <w:tcPr>
            <w:tcW w:type="dxa" w:w="2340"/>
            <w:tcMar>
              <w:top w:w="100" w:type="dxa"/>
              <w:bottom w:w="100" w:type="dxa"/>
              <w:left w:w="150" w:type="dxa"/>
              <w:right w:w="150" w:type="dxa"/>
            </w:tcMar>
          </w:tcPr>
          <w:p>
            <w:r>
              <w:t>Team 7 → Team 6</w:t>
            </w:r>
          </w:p>
        </w:tc>
        <w:tc>
          <w:tcPr>
            <w:tcW w:type="dxa" w:w="2340"/>
            <w:tcMar>
              <w:top w:w="100" w:type="dxa"/>
              <w:bottom w:w="100" w:type="dxa"/>
              <w:left w:w="150" w:type="dxa"/>
              <w:right w:w="150" w:type="dxa"/>
            </w:tcMar>
          </w:tcPr>
          <w:p>
            <w:r>
              <w:t>When Green GSM's PMS flags a VinFast EV requiring replacement parts (tires, brake pads, coolant, battery modules), Team 7 issues an automated Purchase Requisition (PR) to Team 6.</w:t>
            </w:r>
          </w:p>
        </w:tc>
        <w:tc>
          <w:tcPr>
            <w:tcW w:type="dxa" w:w="2340"/>
            <w:tcMar>
              <w:top w:w="100" w:type="dxa"/>
              <w:bottom w:w="100" w:type="dxa"/>
              <w:left w:w="150" w:type="dxa"/>
              <w:right w:w="150" w:type="dxa"/>
            </w:tcMar>
          </w:tcPr>
          <w:p>
            <w:r>
              <w:t>POST /api/v1/procurement/purchase-requisition</w:t>
              <w:br/>
              <w:t>Payload: { vehicle_id, part_name, part_sku, quantity, urgency }</w:t>
            </w:r>
          </w:p>
        </w:tc>
      </w:tr>
      <w:tr>
        <w:tc>
          <w:tcPr>
            <w:tcW w:type="dxa" w:w="2340"/>
            <w:tcMar>
              <w:top w:w="100" w:type="dxa"/>
              <w:bottom w:w="100" w:type="dxa"/>
              <w:left w:w="150" w:type="dxa"/>
              <w:right w:w="150" w:type="dxa"/>
            </w:tcMar>
          </w:tcPr>
          <w:p>
            <w:r>
              <w:t>Team 8: Facilities &amp; Administrative Mgmt</w:t>
            </w:r>
          </w:p>
        </w:tc>
        <w:tc>
          <w:tcPr>
            <w:tcW w:type="dxa" w:w="2340"/>
            <w:tcMar>
              <w:top w:w="100" w:type="dxa"/>
              <w:bottom w:w="100" w:type="dxa"/>
              <w:left w:w="150" w:type="dxa"/>
              <w:right w:w="150" w:type="dxa"/>
            </w:tcMar>
          </w:tcPr>
          <w:p>
            <w:r>
              <w:t>Team 7 ↔ Team 8</w:t>
            </w:r>
          </w:p>
        </w:tc>
        <w:tc>
          <w:tcPr>
            <w:tcW w:type="dxa" w:w="2340"/>
            <w:tcMar>
              <w:top w:w="100" w:type="dxa"/>
              <w:bottom w:w="100" w:type="dxa"/>
              <w:left w:w="150" w:type="dxa"/>
              <w:right w:w="150" w:type="dxa"/>
            </w:tcMar>
          </w:tcPr>
          <w:p>
            <w:r>
              <w:t>Team 7 syncs VinFast EV charging station bay reservations with Team 8's Facilities Reservation System and checks driver contract compliance with Team 8's Legal System.</w:t>
            </w:r>
          </w:p>
        </w:tc>
        <w:tc>
          <w:tcPr>
            <w:tcW w:type="dxa" w:w="2340"/>
            <w:tcMar>
              <w:top w:w="100" w:type="dxa"/>
              <w:bottom w:w="100" w:type="dxa"/>
              <w:left w:w="150" w:type="dxa"/>
              <w:right w:w="150" w:type="dxa"/>
            </w:tcMar>
          </w:tcPr>
          <w:p>
            <w:r>
              <w:t>POST /api/v1/facilities/charging-bay-reservation</w:t>
              <w:br/>
              <w:t>Payload: { charging_bay_id, vehicle_id, reservation_time, contract_status }</w:t>
            </w:r>
          </w:p>
        </w:tc>
      </w:tr>
      <w:tr>
        <w:tc>
          <w:tcPr>
            <w:tcW w:type="dxa" w:w="2340"/>
            <w:tcMar>
              <w:top w:w="100" w:type="dxa"/>
              <w:bottom w:w="100" w:type="dxa"/>
              <w:left w:w="150" w:type="dxa"/>
              <w:right w:w="150" w:type="dxa"/>
            </w:tcMar>
          </w:tcPr>
          <w:p>
            <w:r>
              <w:t>Team 9: TNVS Ops &amp; Driver Management</w:t>
            </w:r>
          </w:p>
        </w:tc>
        <w:tc>
          <w:tcPr>
            <w:tcW w:type="dxa" w:w="2340"/>
            <w:tcMar>
              <w:top w:w="100" w:type="dxa"/>
              <w:bottom w:w="100" w:type="dxa"/>
              <w:left w:w="150" w:type="dxa"/>
              <w:right w:w="150" w:type="dxa"/>
            </w:tcMar>
          </w:tcPr>
          <w:p>
            <w:r>
              <w:t>Team 7 ↔ Team 9</w:t>
            </w:r>
          </w:p>
        </w:tc>
        <w:tc>
          <w:tcPr>
            <w:tcW w:type="dxa" w:w="2340"/>
            <w:tcMar>
              <w:top w:w="100" w:type="dxa"/>
              <w:bottom w:w="100" w:type="dxa"/>
              <w:left w:w="150" w:type="dxa"/>
              <w:right w:w="150" w:type="dxa"/>
            </w:tcMar>
          </w:tcPr>
          <w:p>
            <w:r>
              <w:t>Team 7 syncs dispatch statuses and fare amounts with Team 9's Driver Information System &amp; Driver Wallet so drivers can track live trip earnings.</w:t>
            </w:r>
          </w:p>
        </w:tc>
        <w:tc>
          <w:tcPr>
            <w:tcW w:type="dxa" w:w="2340"/>
            <w:tcMar>
              <w:top w:w="100" w:type="dxa"/>
              <w:bottom w:w="100" w:type="dxa"/>
              <w:left w:w="150" w:type="dxa"/>
              <w:right w:w="150" w:type="dxa"/>
            </w:tcMar>
          </w:tcPr>
          <w:p>
            <w:r>
              <w:t>POST /api/v1/ops/wallet-credit</w:t>
              <w:br/>
              <w:t>Payload: { trip_id, driver_id, fare_amount_php, credit_timestamp }</w:t>
            </w:r>
          </w:p>
        </w:tc>
      </w:tr>
      <w:tr>
        <w:tc>
          <w:tcPr>
            <w:tcW w:type="dxa" w:w="2340"/>
            <w:tcMar>
              <w:top w:w="100" w:type="dxa"/>
              <w:bottom w:w="100" w:type="dxa"/>
              <w:left w:w="150" w:type="dxa"/>
              <w:right w:w="150" w:type="dxa"/>
            </w:tcMar>
          </w:tcPr>
          <w:p>
            <w:r>
              <w:t>Team 10: TNVS Booking, Payments &amp; CX</w:t>
            </w:r>
          </w:p>
        </w:tc>
        <w:tc>
          <w:tcPr>
            <w:tcW w:type="dxa" w:w="2340"/>
            <w:tcMar>
              <w:top w:w="100" w:type="dxa"/>
              <w:bottom w:w="100" w:type="dxa"/>
              <w:left w:w="150" w:type="dxa"/>
              <w:right w:w="150" w:type="dxa"/>
            </w:tcMar>
          </w:tcPr>
          <w:p>
            <w:r>
              <w:t>Team 10 ↔ Team 7</w:t>
            </w:r>
          </w:p>
        </w:tc>
        <w:tc>
          <w:tcPr>
            <w:tcW w:type="dxa" w:w="2340"/>
            <w:tcMar>
              <w:top w:w="100" w:type="dxa"/>
              <w:bottom w:w="100" w:type="dxa"/>
              <w:left w:w="150" w:type="dxa"/>
              <w:right w:w="150" w:type="dxa"/>
            </w:tcMar>
          </w:tcPr>
          <w:p>
            <w:r>
              <w:t>When a customer requests a ride on Team 10's app, Team 10 calls Team 7's VRDS API to auto-assign an EV. Team 7 streams live Leaflet GPS coordinates (lat, lng, speed) back to Team 10 for live map tracking.</w:t>
            </w:r>
          </w:p>
        </w:tc>
        <w:tc>
          <w:tcPr>
            <w:tcW w:type="dxa" w:w="2340"/>
            <w:tcMar>
              <w:top w:w="100" w:type="dxa"/>
              <w:bottom w:w="100" w:type="dxa"/>
              <w:left w:w="150" w:type="dxa"/>
              <w:right w:w="150" w:type="dxa"/>
            </w:tcMar>
          </w:tcPr>
          <w:p>
            <w:r>
              <w:t>POST /api/v1/trips/dispatch &amp; GET /api/v1/telemetry/live</w:t>
              <w:br/>
              <w:t>Payload: { booking_ref, assigned_vinfast_ev, live_lat, live_lng, eta_minutes }</w:t>
            </w:r>
          </w:p>
        </w:tc>
      </w:tr>
    </w:tbl>
    <w:p>
      <w:pPr>
        <w:spacing w:after="320"/>
      </w:pPr>
    </w:p>
    <w:p>
      <w:pPr>
        <w:pStyle w:val="Heading1"/>
      </w:pPr>
      <w:r>
        <w:rPr>
          <w:rFonts w:ascii="Arial" w:hAnsi="Arial"/>
          <w:color w:val="064E3B"/>
        </w:rPr>
        <w:t>4. Integration Protocols &amp; Security Standards</w:t>
      </w:r>
    </w:p>
    <w:p>
      <w:pPr>
        <w:pStyle w:val="ListBullet"/>
      </w:pPr>
      <w:r>
        <w:rPr>
          <w:rFonts w:ascii="Arial" w:hAnsi="Arial"/>
          <w:sz w:val="21"/>
        </w:rPr>
        <w:t>Data Protocol &amp; Payload Format: All inter-team API communication utilizes RESTful HTTP/HTTPS methods with standard JSON (application/json) request and response bodies.</w:t>
      </w:r>
    </w:p>
    <w:p>
      <w:pPr>
        <w:pStyle w:val="ListBullet"/>
      </w:pPr>
      <w:r>
        <w:rPr>
          <w:rFonts w:ascii="Arial" w:hAnsi="Arial"/>
          <w:sz w:val="21"/>
        </w:rPr>
        <w:t>Transport Security: Enforces HTTPS TLS 1.3 encryption across all Vercel production endpoints to eliminate mixed content or unsecure form transmission warnings.</w:t>
      </w:r>
    </w:p>
    <w:p>
      <w:pPr>
        <w:pStyle w:val="ListBullet"/>
      </w:pPr>
      <w:r>
        <w:rPr>
          <w:rFonts w:ascii="Arial" w:hAnsi="Arial"/>
          <w:sz w:val="21"/>
        </w:rPr>
        <w:t>Authentication &amp; Authorization: Protected using HTTP Bearer Token authentication (Authorization: Bearer &lt;TOKEN&gt;) or custom X-API-KEY request headers.</w:t>
      </w:r>
    </w:p>
    <w:p>
      <w:pPr>
        <w:pStyle w:val="ListBullet"/>
      </w:pPr>
      <w:r>
        <w:rPr>
          <w:rFonts w:ascii="Arial" w:hAnsi="Arial"/>
          <w:sz w:val="21"/>
        </w:rPr>
        <w:t>Asynchronous Event Webhooks: Real-time event notifications fired automatically on key trip lifecycle events (trip.created, trip.started, telemetry.updated, trip.completed).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