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Systém pro správu rizik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Návrh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1440"/>
        <w:gridCol w:w="1771"/>
        <w:gridCol w:w="3449"/>
        <w:tblGridChange w:id="0">
          <w:tblGrid>
            <w:gridCol w:w="828"/>
            <w:gridCol w:w="1080"/>
            <w:gridCol w:w="144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24.4.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Dávid Špavor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  <w:tab/>
            <w:t xml:space="preserve">Úvod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  <w:tab/>
            <w:t xml:space="preserve">Dynamická struktura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Sekvenční </w:t>
          </w:r>
          <w:r w:rsidDel="00000000" w:rsidR="00000000" w:rsidRPr="00000000">
            <w:rPr>
              <w:rtl w:val="0"/>
            </w:rPr>
            <w:t xml:space="preserve">diagramy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  <w:tab/>
            <w:t xml:space="preserve">Statická struktura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Package diagram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63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Diagram(i) tříd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  <w:tab/>
            <w:t xml:space="preserve">Návrh GUI</w:t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  <w:tab/>
            <w:t xml:space="preserve">Návrh Databáze</w:t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  <w:tab/>
            <w:t xml:space="preserve">Specifikace Uživatelských Testů</w:t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Návrh projektu slúži k naplánovaniu a rovzrhnutiu logickej štruktúry zdrojového kódu a jednotlivých balíčkov. Ďalej je vytvorená forma databáze a plán uživateľských akceptačných testov.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Dynamická struktura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Sekvenční diagramy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 Systémové sekvenčné diagramy slúžia na špecifikáciu priebehu aplikácie a komunikácie komponent.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1"/>
        </w:numPr>
        <w:ind w:left="1080" w:hanging="720"/>
        <w:rPr/>
      </w:pPr>
      <w:r w:rsidDel="00000000" w:rsidR="00000000" w:rsidRPr="00000000">
        <w:rPr>
          <w:rtl w:val="0"/>
        </w:rPr>
        <w:t xml:space="preserve">Sekvenčný diagramy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3021330" cy="28702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Statická struktura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936" w:hanging="576"/>
        <w:rPr/>
      </w:pPr>
      <w:r w:rsidDel="00000000" w:rsidR="00000000" w:rsidRPr="00000000">
        <w:rPr>
          <w:rtl w:val="0"/>
        </w:rPr>
        <w:t xml:space="preserve">Package diagram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308472</wp:posOffset>
            </wp:positionV>
            <wp:extent cx="5486400" cy="3331845"/>
            <wp:effectExtent b="0" l="0" r="0" t="0"/>
            <wp:wrapSquare wrapText="bothSides" distB="0" distT="0" distL="114300" distR="114300"/>
            <wp:docPr descr="Diagram&#10;&#10;Description automatically generated" id="14" name="image7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Diagram(i) tříd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-840022</wp:posOffset>
            </wp:positionH>
            <wp:positionV relativeFrom="paragraph">
              <wp:posOffset>242294</wp:posOffset>
            </wp:positionV>
            <wp:extent cx="6812677" cy="3718257"/>
            <wp:effectExtent b="0" l="0" r="0" t="0"/>
            <wp:wrapSquare wrapText="bothSides" distB="0" distT="0" distL="114300" distR="114300"/>
            <wp:docPr descr="Graphical user interface&#10;&#10;Description automatically generated with medium confidence" id="18" name="image4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medium confidenc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2677" cy="3718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Návrh GUI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-487956</wp:posOffset>
            </wp:positionH>
            <wp:positionV relativeFrom="paragraph">
              <wp:posOffset>309742</wp:posOffset>
            </wp:positionV>
            <wp:extent cx="5915660" cy="2915285"/>
            <wp:effectExtent b="0" l="0" r="0" t="0"/>
            <wp:wrapSquare wrapText="bothSides" distB="0" distT="0" distL="114300" distR="114300"/>
            <wp:docPr descr="Graphical user interface, text, application, email&#10;&#10;Description automatically generated" id="19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915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-478513</wp:posOffset>
            </wp:positionH>
            <wp:positionV relativeFrom="paragraph">
              <wp:posOffset>3248053</wp:posOffset>
            </wp:positionV>
            <wp:extent cx="5879465" cy="2861945"/>
            <wp:effectExtent b="0" l="0" r="0" t="0"/>
            <wp:wrapSquare wrapText="bothSides" distB="0" distT="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861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391409</wp:posOffset>
            </wp:positionH>
            <wp:positionV relativeFrom="paragraph">
              <wp:posOffset>6122284</wp:posOffset>
            </wp:positionV>
            <wp:extent cx="4698365" cy="2936240"/>
            <wp:effectExtent b="0" l="0" r="0" t="0"/>
            <wp:wrapSquare wrapText="bothSides" distB="0" distT="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936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Návrh Databáze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</w:rPr>
        <w:drawing>
          <wp:inline distB="0" distT="0" distL="0" distR="0">
            <wp:extent cx="4983460" cy="429877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460" cy="4298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Specifikace Uživatelských Testů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00"/>
          <w:highlight w:val="white"/>
          <w:rtl w:val="0"/>
        </w:rPr>
        <w:t xml:space="preserve">Najdôležitejšie bude potrebné otestovať funkcionalitu CRUD operácii. Sú to operácie pre vytváranie, získavanie dát, ich aktualizáciu a vymazanie. Pre náš projekt na najdôležitejšie otestovať tieto operácie pre projekty a pre riziká. 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Operácie nad projektami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ab/>
        <w:t xml:space="preserve">Otestovanie, či je možné vytvárať, aktualizovať, získavať a vymazávať projekty. V programe budú naprogramované metódy, ktoré búdu pracovať s databázou, konkrétne s tabuľkou pre projekty. Každá táto metóda bude implementovať danú CRUD operáciu a bude predstavovať jeden use-case vrámci testovania.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6.1 Operácie nad rizikami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br w:type="textWrapping"/>
        <w:tab/>
        <w:t xml:space="preserve">Otestovanie, či je možné vytvárať, aktualizovať, získavať a vymazávať rizika. Tieto operácie budú implementované podobne ako u projektu, avšak budú pracovať nad databázovou tabuľkou pre riziká. Podobne každá táto jedná metóda bude implementovať danú operáciu a bude predstavovať jeden use-case vrámci testovania.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92" w:hanging="432"/>
      </w:pPr>
      <w:rPr/>
    </w:lvl>
    <w:lvl w:ilvl="1">
      <w:start w:val="1"/>
      <w:numFmt w:val="decimal"/>
      <w:lvlText w:val="%1.%2"/>
      <w:lvlJc w:val="left"/>
      <w:pPr>
        <w:ind w:left="936" w:hanging="576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24" w:hanging="864"/>
      </w:pPr>
      <w:rPr/>
    </w:lvl>
    <w:lvl w:ilvl="4">
      <w:start w:val="1"/>
      <w:numFmt w:val="decimal"/>
      <w:lvlText w:val="%1.%2.%3.%4.%5"/>
      <w:lvlJc w:val="left"/>
      <w:pPr>
        <w:ind w:left="1368" w:hanging="1007.9999999999999"/>
      </w:pPr>
      <w:rPr/>
    </w:lvl>
    <w:lvl w:ilvl="5">
      <w:start w:val="1"/>
      <w:numFmt w:val="decimal"/>
      <w:lvlText w:val="%1.%2.%3.%4.%5.%6"/>
      <w:lvlJc w:val="left"/>
      <w:pPr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9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93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08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22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36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51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outlineLvl w:val="1"/>
    </w:pPr>
    <w:rPr>
      <w:b w:val="1"/>
      <w:bCs w:val="1"/>
      <w:sz w:val="28"/>
      <w:lang w:val="cs-CZ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al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alWeb">
    <w:name w:val="Normal (Web)"/>
    <w:basedOn w:val="Normal"/>
  </w:style>
  <w:style w:type="paragraph" w:styleId="TOC1">
    <w:name w:val="toc 1"/>
    <w:basedOn w:val="Normal"/>
    <w:next w:val="Normal"/>
    <w:autoRedefine w:val="1"/>
    <w:semiHidden w:val="1"/>
  </w:style>
  <w:style w:type="paragraph" w:styleId="BodyText">
    <w:name w:val="Body Text"/>
    <w:basedOn w:val="Normal"/>
    <w:rPr>
      <w:color w:val="0000ff"/>
      <w:lang w:val="cs-CZ"/>
    </w:rPr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BalloonText">
    <w:name w:val="Balloon Text"/>
    <w:basedOn w:val="Normal"/>
    <w:link w:val="BalloonTextChar"/>
    <w:rsid w:val="00DF6CA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F6CA9"/>
    <w:rPr>
      <w:rFonts w:ascii="Tahoma" w:cs="Tahoma" w:hAnsi="Tahoma"/>
      <w:sz w:val="16"/>
      <w:szCs w:val="16"/>
      <w:lang w:eastAsia="en-US" w:val="en-US"/>
    </w:rPr>
  </w:style>
  <w:style w:type="character" w:styleId="normaltextrun" w:customStyle="1">
    <w:name w:val="normaltextrun"/>
    <w:basedOn w:val="DefaultParagraphFont"/>
    <w:rsid w:val="0065725D"/>
  </w:style>
  <w:style w:type="character" w:styleId="scxw134970757" w:customStyle="1">
    <w:name w:val="scxw134970757"/>
    <w:basedOn w:val="DefaultParagraphFont"/>
    <w:rsid w:val="0065725D"/>
  </w:style>
  <w:style w:type="paragraph" w:styleId="paragraph" w:customStyle="1">
    <w:name w:val="paragraph"/>
    <w:basedOn w:val="Normal"/>
    <w:rsid w:val="0065725D"/>
    <w:pPr>
      <w:spacing w:after="100" w:afterAutospacing="1" w:before="100" w:beforeAutospacing="1"/>
    </w:pPr>
  </w:style>
  <w:style w:type="character" w:styleId="scxw182509386" w:customStyle="1">
    <w:name w:val="scxw182509386"/>
    <w:basedOn w:val="DefaultParagraphFont"/>
    <w:rsid w:val="0065725D"/>
  </w:style>
  <w:style w:type="character" w:styleId="tabchar" w:customStyle="1">
    <w:name w:val="tabchar"/>
    <w:basedOn w:val="DefaultParagraphFont"/>
    <w:rsid w:val="0065725D"/>
  </w:style>
  <w:style w:type="character" w:styleId="eop" w:customStyle="1">
    <w:name w:val="eop"/>
    <w:basedOn w:val="DefaultParagraphFont"/>
    <w:rsid w:val="00657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VihuKIZyqJPvoaK1FqVkgPBJw==">AMUW2mUVrNT99MxwZkzc839dZZsoG7O98p/rIODsiVbf/4M9jic7bkYsSTAT6UiR4OT6rfJ2UmbgM3OUyK830EwHlmPs5G0kTb98PMvywvgrIfUvNUXZ+IyxK1JLFMAkjI/OBYm1jf0yUFHaeGX/BKcIe1+U3duhrsWQp7PbP5N8TU3qB4gF0Hmb3pusThyThSpJzMvPmRdmyyPHbrB/GLoD/Ry58q/BcIqgsFbgMzKDO4tMYtkXqKM=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2017-01-30T15:47:00Z</dcterms:created>
  <dc:creator>SAP</dc:creator>
</cp:coreProperties>
</file>