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pPr>
      <w:r>
        <w:rPr>
          <w:b/>
          <w:bCs/>
          <w:caps/>
          <w:color w:val="4B238D"/>
          <w:sz w:val="20"/>
          <w:szCs w:val="20"/>
        </w:rPr>
        <w:t xml:space="preserve">MOURA ENERGIA — ENERGIA COMO SERVIÇO</w:t>
      </w:r>
    </w:p>
    <w:p>
      <w:pPr>
        <w:spacing w:after="300"/>
      </w:pPr>
      <w:r>
        <w:rPr>
          <w:b/>
          <w:bCs/>
          <w:color w:val="2A005D"/>
          <w:sz w:val="40"/>
          <w:szCs w:val="40"/>
        </w:rPr>
        <w:t xml:space="preserve">Cases de Servitização</w:t>
      </w:r>
    </w:p>
    <w:p>
      <w:pPr>
        <w:spacing w:after="40"/>
      </w:pPr>
      <w:r>
        <w:rPr>
          <w:color w:val="4B238D"/>
          <w:sz w:val="24"/>
          <w:szCs w:val="24"/>
        </w:rPr>
        <w:t xml:space="preserve">Aprofundamento — Vertente 1</w:t>
      </w:r>
    </w:p>
    <w:p>
      <w:pPr>
        <w:pBdr>
          <w:bottom w:val="single" w:color="1CB78D" w:sz="12" w:space="8"/>
        </w:pBdr>
        <w:spacing w:after="500"/>
      </w:pPr>
      <w:r>
        <w:rPr>
          <w:color w:val="555555"/>
          <w:sz w:val="19"/>
          <w:szCs w:val="19"/>
        </w:rPr>
        <w:t xml:space="preserve">Preparado por MJV Technology &amp; Innovation  ·  24 de julho de 2026</w:t>
      </w:r>
    </w:p>
    <w:p>
      <w:r>
        <w:br w:type="page"/>
      </w:r>
    </w:p>
    <w:p>
      <w:pPr>
        <w:spacing w:after="240"/>
      </w:pPr>
      <w:r>
        <w:rPr>
          <w:i/>
          <w:iCs/>
          <w:color w:val="555555"/>
          <w:sz w:val="19"/>
          <w:szCs w:val="19"/>
        </w:rPr>
        <w:t xml:space="preserve">Aprofundamento dos 7 cases gerais de servitização de infraestrutura do documento `18-cases-servitizacao-benchmark.md`, a pedido da autora: como a empresa operava vendendo só o produto, como funciona hoje, o que a empresa e o cliente ganham, o que o cliente de fato "leva", vantagens/desvantagens dos dois lados, mecânica financeira e como o modelo é vendido. Pesquisa feita com preferência por fontes acadêmicas (HBS, IMD, Harvard D3), relatórios anuais/de investidores, imprensa especializada e — quando existiam — decisões judiciais e críticas independentes, não só material institucional das próprias empresas. Onde a pesquisa não encontrou dado sólido, isso está sinalizado explicitamente no texto em vez de inventado.</w:t>
      </w:r>
    </w:p>
    <w:p>
      <w:r>
        <w:br w:type="page"/>
      </w:r>
    </w:p>
    <w:p>
      <w:pPr>
        <w:pStyle w:val="Heading1"/>
        <w:pBdr>
          <w:bottom w:val="single" w:color="4B238D" w:sz="6" w:space="4"/>
        </w:pBdr>
        <w:spacing w:after="160" w:before="380"/>
      </w:pPr>
      <w:r>
        <w:rPr>
          <w:b/>
          <w:bCs/>
          <w:color w:val="2A005D"/>
          <w:sz w:val="28"/>
          <w:szCs w:val="28"/>
        </w:rPr>
        <w:t xml:space="preserve">1. Xerox / HP — Managed Print Services (impressora como serviço)</w:t>
      </w:r>
    </w:p>
    <w:p>
      <w:pPr>
        <w:pStyle w:val="Heading2"/>
        <w:spacing w:after="100" w:before="260"/>
      </w:pPr>
      <w:r>
        <w:rPr>
          <w:b/>
          <w:bCs/>
          <w:color w:val="4B238D"/>
          <w:sz w:val="22"/>
          <w:szCs w:val="22"/>
        </w:rPr>
        <w:t xml:space="preserve">Antes (o modelo antigo)</w:t>
      </w:r>
    </w:p>
    <w:p>
      <w:pPr>
        <w:spacing w:after="160" w:line="300"/>
      </w:pPr>
      <w:r>
        <w:rPr>
          <w:color w:val="222222"/>
          <w:sz w:val="21"/>
          <w:szCs w:val="21"/>
        </w:rPr>
        <w:t xml:space="preserve">No modelo tradicional, a Xerox vendia (ou alugava via leasing simples) equipamentos de fotocópia/impressão como produto de capital. Isso remonta à própria fundação do negócio moderno da empresa: em 1959, a Xerox lançou a copiadora 914, cara demais para venda direta (US$ 29.500), e a colocou em regime de leasing a US$ 95/mês, incluindo 2.000 cópias grátis e cobrança adicional por cópia excedente — o embrião do modelo "pay-per-use" que a empresa reaproveitaria décadas depois no MPS (</w:t>
      </w:r>
      <w:hyperlink w:history="1" r:id="rIdgyc2itezorf8w-zwiwudg">
        <w:r>
          <w:rPr>
            <w:rStyle w:val="Hyperlink"/>
            <w:color w:val="1155CC"/>
            <w:sz w:val="19"/>
            <w:szCs w:val="19"/>
            <w:u w:val="single"/>
          </w:rPr>
          <w:t xml:space="preserve">Strategyzer</w:t>
        </w:r>
      </w:hyperlink>
      <w:r>
        <w:rPr>
          <w:color w:val="222222"/>
          <w:sz w:val="21"/>
          <w:szCs w:val="21"/>
        </w:rPr>
        <w:t xml:space="preserve">; </w:t>
      </w:r>
      <w:hyperlink w:history="1" r:id="rIdyc6gfeouidigtd1nxv8vj">
        <w:r>
          <w:rPr>
            <w:rStyle w:val="Hyperlink"/>
            <w:color w:val="1155CC"/>
            <w:sz w:val="19"/>
            <w:szCs w:val="19"/>
            <w:u w:val="single"/>
          </w:rPr>
          <w:t xml:space="preserve">1000Ventures</w:t>
        </w:r>
      </w:hyperlink>
      <w:r>
        <w:rPr>
          <w:color w:val="222222"/>
          <w:sz w:val="21"/>
          <w:szCs w:val="21"/>
        </w:rPr>
        <w:t xml:space="preserve">). Ainda assim, por décadas o negócio operou essencialmente como venda/leasing de "caixas": a força de vendas era organizada por território e por linha de produto, o vendedor era avaliado por unidades colocadas (sell-in) e a Xerox não tinha visibilidade nem responsabilidade sobre como o cliente usava a máquina depois da instalação. O "sucesso" da venda era a instalação do equipamento, não o resultado gerado. Esse modelo entrou em erosão estrutural com a digitalização do escritório, reduzindo o volume impresso (</w:t>
      </w:r>
      <w:hyperlink w:history="1" r:id="rIdqtjbv8fuymfmnvxwldci_">
        <w:r>
          <w:rPr>
            <w:rStyle w:val="Hyperlink"/>
            <w:color w:val="1155CC"/>
            <w:sz w:val="19"/>
            <w:szCs w:val="19"/>
            <w:u w:val="single"/>
          </w:rPr>
          <w:t xml:space="preserve">Morningstar</w:t>
        </w:r>
      </w:hyperlink>
      <w:r>
        <w:rPr>
          <w:color w:val="222222"/>
          <w:sz w:val="21"/>
          <w:szCs w:val="21"/>
        </w:rPr>
        <w:t xml:space="preserve">).</w:t>
      </w:r>
    </w:p>
    <w:p>
      <w:pPr>
        <w:pStyle w:val="Heading2"/>
        <w:spacing w:after="100" w:before="260"/>
      </w:pPr>
      <w:r>
        <w:rPr>
          <w:b/>
          <w:bCs/>
          <w:color w:val="4B238D"/>
          <w:sz w:val="22"/>
          <w:szCs w:val="22"/>
        </w:rPr>
        <w:t xml:space="preserve">Depois (o modelo novo)</w:t>
      </w:r>
    </w:p>
    <w:p>
      <w:pPr>
        <w:spacing w:after="160" w:line="300"/>
      </w:pPr>
      <w:r>
        <w:rPr>
          <w:color w:val="222222"/>
          <w:sz w:val="21"/>
          <w:szCs w:val="21"/>
        </w:rPr>
        <w:t xml:space="preserve">O Managed Print Services (MPS) — hoje "Partner Print Services"/Workplace Solutions — é um contrato plurianual (3 a 5 anos) no qual o fornecedor assume a frota de impressão do cliente como serviço gerenciado: fornece os equipamentos, monitora remotamente cada dispositivo, despacha manutenção, repõe suprimentos automaticamente e presta helpdesk (</w:t>
      </w:r>
      <w:hyperlink w:history="1" r:id="rIdgd0ur8r1ltamjz4lqtatq">
        <w:r>
          <w:rPr>
            <w:rStyle w:val="Hyperlink"/>
            <w:color w:val="1155CC"/>
            <w:sz w:val="19"/>
            <w:szCs w:val="19"/>
            <w:u w:val="single"/>
          </w:rPr>
          <w:t xml:space="preserve">RK Black</w:t>
        </w:r>
      </w:hyperlink>
      <w:r>
        <w:rPr>
          <w:color w:val="222222"/>
          <w:sz w:val="21"/>
          <w:szCs w:val="21"/>
        </w:rPr>
        <w:t xml:space="preserve">). O mecanismo central é o "Automatic Supplies Replenishment" (ASR): os dispositivos transmitem dados de uso e um algoritmo dispara reposição de toner sem intervenção manual (</w:t>
      </w:r>
      <w:hyperlink w:history="1" r:id="rIdkkx_i-w2iggkeuy5cmtux">
        <w:r>
          <w:rPr>
            <w:rStyle w:val="Hyperlink"/>
            <w:color w:val="1155CC"/>
            <w:sz w:val="19"/>
            <w:szCs w:val="19"/>
            <w:u w:val="single"/>
          </w:rPr>
          <w:t xml:space="preserve">Xerox ASR FAQ</w:t>
        </w:r>
      </w:hyperlink>
      <w:r>
        <w:rPr>
          <w:color w:val="222222"/>
          <w:sz w:val="21"/>
          <w:szCs w:val="21"/>
        </w:rPr>
        <w:t xml:space="preserve">). Antes de assinar, a Xerox faz um "workplace assessment" da frota para redesenhá-la — menos dispositivos, mais centralizados (</w:t>
      </w:r>
      <w:hyperlink w:history="1" r:id="rIdvs4z6xwig11hypk9udbi7">
        <w:r>
          <w:rPr>
            <w:rStyle w:val="Hyperlink"/>
            <w:color w:val="1155CC"/>
            <w:sz w:val="19"/>
            <w:szCs w:val="19"/>
            <w:u w:val="single"/>
          </w:rPr>
          <w:t xml:space="preserve">Xerox MPS Advantages</w:t>
        </w:r>
      </w:hyperlink>
      <w:r>
        <w:rPr>
          <w:color w:val="222222"/>
          <w:sz w:val="21"/>
          <w:szCs w:val="21"/>
        </w:rPr>
        <w:t xml:space="preserve">). A cobrança é por "cost-per-page": tarifa fixa por página em P&amp;B (US$ 0,008–0,015) e outra para cor (US$ 0,06–0,12), já embutindo toner, peças e manutenção; alguns contratos somam uma taxa de serviço mensal base (</w:t>
      </w:r>
      <w:hyperlink w:history="1" r:id="rIdqe0s_ajfux2pgaq9fnxdy">
        <w:r>
          <w:rPr>
            <w:rStyle w:val="Hyperlink"/>
            <w:color w:val="1155CC"/>
            <w:sz w:val="19"/>
            <w:szCs w:val="19"/>
            <w:u w:val="single"/>
          </w:rPr>
          <w:t xml:space="preserve">CDS</w:t>
        </w:r>
      </w:hyperlink>
      <w:r>
        <w:rPr>
          <w:color w:val="222222"/>
          <w:sz w:val="21"/>
          <w:szCs w:val="21"/>
        </w:rPr>
        <w:t xml:space="preserve">).</w:t>
      </w:r>
    </w:p>
    <w:p>
      <w:pPr>
        <w:pStyle w:val="Heading2"/>
        <w:spacing w:after="100" w:before="260"/>
      </w:pPr>
      <w:r>
        <w:rPr>
          <w:b/>
          <w:bCs/>
          <w:color w:val="4B238D"/>
          <w:sz w:val="22"/>
          <w:szCs w:val="22"/>
        </w:rPr>
        <w:t xml:space="preserve">Ganho da empresa</w:t>
      </w:r>
    </w:p>
    <w:p>
      <w:pPr>
        <w:spacing w:after="160" w:line="300"/>
      </w:pPr>
      <w:r>
        <w:rPr>
          <w:color w:val="222222"/>
          <w:sz w:val="21"/>
          <w:szCs w:val="21"/>
        </w:rPr>
        <w:t xml:space="preserve">Receita recorrente e previsível ("annuity revenue"): após a aquisição da ACS em 2010, o negócio de serviços dobrou para US$ 10 bi, e a receita "annuity" passou de &gt;70% da receita total em 2007 para 84% no 2T de 2015 (</w:t>
      </w:r>
      <w:hyperlink w:history="1" r:id="rIdmlf_mht85c6zyogq5ssba">
        <w:r>
          <w:rPr>
            <w:rStyle w:val="Hyperlink"/>
            <w:color w:val="1155CC"/>
            <w:sz w:val="19"/>
            <w:szCs w:val="19"/>
            <w:u w:val="single"/>
          </w:rPr>
          <w:t xml:space="preserve">SEC 8-K 2007</w:t>
        </w:r>
      </w:hyperlink>
      <w:r>
        <w:rPr>
          <w:color w:val="222222"/>
          <w:sz w:val="21"/>
          <w:szCs w:val="21"/>
        </w:rPr>
        <w:t xml:space="preserve">; </w:t>
      </w:r>
      <w:hyperlink w:history="1" r:id="rIdjvntlzpim_klvp5wulbak">
        <w:r>
          <w:rPr>
            <w:rStyle w:val="Hyperlink"/>
            <w:color w:val="1155CC"/>
            <w:sz w:val="19"/>
            <w:szCs w:val="19"/>
            <w:u w:val="single"/>
          </w:rPr>
          <w:t xml:space="preserve">SEC 8-K 2015</w:t>
        </w:r>
      </w:hyperlink>
      <w:r>
        <w:rPr>
          <w:color w:val="222222"/>
          <w:sz w:val="21"/>
          <w:szCs w:val="21"/>
        </w:rPr>
        <w:t xml:space="preserve">). A CFO da HP, Marie Myers, declarou publicamente que mover um cliente para o Instant Ink gera um "uplift de 20% no valor desse cliente, porque você está travando essa pessoa" (</w:t>
      </w:r>
      <w:hyperlink w:history="1" r:id="rIdkntzv3xmjp2gonjvwhgnm">
        <w:r>
          <w:rPr>
            <w:rStyle w:val="Hyperlink"/>
            <w:color w:val="1155CC"/>
            <w:sz w:val="19"/>
            <w:szCs w:val="19"/>
            <w:u w:val="single"/>
          </w:rPr>
          <w:t xml:space="preserve">The Register</w:t>
        </w:r>
      </w:hyperlink>
      <w:r>
        <w:rPr>
          <w:color w:val="222222"/>
          <w:sz w:val="21"/>
          <w:szCs w:val="21"/>
        </w:rPr>
        <w:t xml:space="preserve">). </w:t>
      </w:r>
      <w:r>
        <w:rPr>
          <w:b/>
          <w:bCs/>
          <w:color w:val="2A005D"/>
          <w:sz w:val="21"/>
          <w:szCs w:val="21"/>
        </w:rPr>
        <w:t xml:space="preserve">Ponto crítico honesto</w:t>
      </w:r>
      <w:r>
        <w:rPr>
          <w:color w:val="222222"/>
          <w:sz w:val="21"/>
          <w:szCs w:val="21"/>
        </w:rPr>
        <w:t xml:space="preserve">: apesar dessa engenharia financeira, o negócio central de impressão da Xerox está em "declínio secular" — a ação caiu mais de 90% do pico histórico, e nem o MPS nem a fusão com a Lexmark (jul/2025, ~US$1,5 bi) reverteram a erosão estrutural causada pela digitalização (</w:t>
      </w:r>
      <w:hyperlink w:history="1" r:id="rId9roc_9hehsispgakhoil2">
        <w:r>
          <w:rPr>
            <w:rStyle w:val="Hyperlink"/>
            <w:color w:val="1155CC"/>
            <w:sz w:val="19"/>
            <w:szCs w:val="19"/>
            <w:u w:val="single"/>
          </w:rPr>
          <w:t xml:space="preserve">Morningstar</w:t>
        </w:r>
      </w:hyperlink>
      <w:r>
        <w:rPr>
          <w:color w:val="222222"/>
          <w:sz w:val="21"/>
          <w:szCs w:val="21"/>
        </w:rPr>
        <w:t xml:space="preserve">) — a anuidade estabilizou margem, mas não trouxe de volta o crescimento do mercado.</w:t>
      </w:r>
    </w:p>
    <w:p>
      <w:pPr>
        <w:pStyle w:val="Heading2"/>
        <w:spacing w:after="100" w:before="260"/>
      </w:pPr>
      <w:r>
        <w:rPr>
          <w:b/>
          <w:bCs/>
          <w:color w:val="4B238D"/>
          <w:sz w:val="22"/>
          <w:szCs w:val="22"/>
        </w:rPr>
        <w:t xml:space="preserve">Ganho do cliente</w:t>
      </w:r>
    </w:p>
    <w:p>
      <w:pPr>
        <w:spacing w:after="160" w:line="300"/>
      </w:pPr>
      <w:r>
        <w:rPr>
          <w:color w:val="222222"/>
          <w:sz w:val="21"/>
          <w:szCs w:val="21"/>
        </w:rPr>
        <w:t xml:space="preserve">National Bank of Bahrain: -35% no volume anual de impressão, -30% no custo anual (</w:t>
      </w:r>
      <w:hyperlink w:history="1" r:id="rIdgzex6faxwvwcrmruuehut">
        <w:r>
          <w:rPr>
            <w:rStyle w:val="Hyperlink"/>
            <w:color w:val="1155CC"/>
            <w:sz w:val="19"/>
            <w:szCs w:val="19"/>
            <w:u w:val="single"/>
          </w:rPr>
          <w:t xml:space="preserve">Xerox</w:t>
        </w:r>
      </w:hyperlink>
      <w:r>
        <w:rPr>
          <w:color w:val="222222"/>
          <w:sz w:val="21"/>
          <w:szCs w:val="21"/>
        </w:rPr>
        <w:t xml:space="preserve">). Oxleas NHS Foundation Trust (UK): -67% no parque de impressoras, £2 milhões economizados em 5 anos. Cidade de Nova York: -70% no uso de energia, -68% em resíduos sólidos, -71% em GEE em 38 agências participantes (</w:t>
      </w:r>
      <w:hyperlink w:history="1" r:id="rIdefuppgk9ril0yyjcrjdff">
        <w:r>
          <w:rPr>
            <w:rStyle w:val="Hyperlink"/>
            <w:color w:val="1155CC"/>
            <w:sz w:val="19"/>
            <w:szCs w:val="19"/>
            <w:u w:val="single"/>
          </w:rPr>
          <w:t xml:space="preserve">Xerox NYC</w:t>
        </w:r>
      </w:hyperlink>
      <w:r>
        <w:rPr>
          <w:color w:val="222222"/>
          <w:sz w:val="21"/>
          <w:szCs w:val="21"/>
        </w:rPr>
        <w:t xml:space="preserve">).</w:t>
      </w:r>
    </w:p>
    <w:p>
      <w:pPr>
        <w:pStyle w:val="Heading2"/>
        <w:spacing w:after="100" w:before="260"/>
      </w:pPr>
      <w:r>
        <w:rPr>
          <w:b/>
          <w:bCs/>
          <w:color w:val="4B238D"/>
          <w:sz w:val="22"/>
          <w:szCs w:val="22"/>
        </w:rPr>
        <w:t xml:space="preserve">O que o cliente "leva"</w:t>
      </w:r>
    </w:p>
    <w:p>
      <w:pPr>
        <w:spacing w:after="160" w:line="300"/>
      </w:pPr>
      <w:r>
        <w:rPr>
          <w:color w:val="222222"/>
          <w:sz w:val="21"/>
          <w:szCs w:val="21"/>
        </w:rPr>
        <w:t xml:space="preserve">No MPS, o cliente tipicamente </w:t>
      </w:r>
      <w:r>
        <w:rPr>
          <w:b/>
          <w:bCs/>
          <w:color w:val="2A005D"/>
          <w:sz w:val="21"/>
          <w:szCs w:val="21"/>
        </w:rPr>
        <w:t xml:space="preserve">não é dono do hardware</w:t>
      </w:r>
      <w:r>
        <w:rPr>
          <w:color w:val="222222"/>
          <w:sz w:val="21"/>
          <w:szCs w:val="21"/>
        </w:rPr>
        <w:t xml:space="preserve"> — o equipamento pertence à Xerox/financiadora e é devolvido, trocado ou renovado ao fim do contrato (</w:t>
      </w:r>
      <w:hyperlink w:history="1" r:id="rIdp19semkyr-wzioozqhmav">
        <w:r>
          <w:rPr>
            <w:rStyle w:val="Hyperlink"/>
            <w:color w:val="1155CC"/>
            <w:sz w:val="19"/>
            <w:szCs w:val="19"/>
            <w:u w:val="single"/>
          </w:rPr>
          <w:t xml:space="preserve">GE News</w:t>
        </w:r>
      </w:hyperlink>
      <w:r>
        <w:rPr>
          <w:color w:val="222222"/>
          <w:sz w:val="21"/>
          <w:szCs w:val="21"/>
        </w:rPr>
        <w:t xml:space="preserve">). O que ele recebe: acesso a uma frota otimizada, custo por página travado, portal de gestão em tempo real, SLAs de manutenção, reposição automática e relatórios de sustentabilidade — um resultado operacional, não um ativo depreciável.</w:t>
      </w:r>
    </w:p>
    <w:p>
      <w:pPr>
        <w:pStyle w:val="Heading2"/>
        <w:spacing w:after="100" w:before="260"/>
      </w:pPr>
      <w:r>
        <w:rPr>
          <w:b/>
          <w:bCs/>
          <w:color w:val="4B238D"/>
          <w:sz w:val="22"/>
          <w:szCs w:val="22"/>
        </w:rPr>
        <w:t xml:space="preserve">Vantagens e desvantagens</w:t>
      </w:r>
    </w:p>
    <w:p>
      <w:pPr>
        <w:spacing w:after="160" w:line="300"/>
      </w:pPr>
      <w:r>
        <w:rPr>
          <w:b/>
          <w:bCs/>
          <w:color w:val="2A005D"/>
          <w:sz w:val="21"/>
          <w:szCs w:val="21"/>
        </w:rPr>
        <w:t xml:space="preserve">Cliente — a favor:</w:t>
      </w:r>
      <w:r>
        <w:rPr>
          <w:color w:val="222222"/>
          <w:sz w:val="21"/>
          <w:szCs w:val="21"/>
        </w:rPr>
        <w:t xml:space="preserve"> custo previsível e menor (20–47% de economia nos cases citados), menos fardo de TI/facilities, dados prontos para ESG. </w:t>
      </w:r>
      <w:r>
        <w:rPr>
          <w:b/>
          <w:bCs/>
          <w:color w:val="2A005D"/>
          <w:sz w:val="21"/>
          <w:szCs w:val="21"/>
        </w:rPr>
        <w:t xml:space="preserve">Cliente — contra:</w:t>
      </w:r>
      <w:r>
        <w:rPr>
          <w:color w:val="222222"/>
          <w:sz w:val="21"/>
          <w:szCs w:val="21"/>
        </w:rPr>
        <w:t xml:space="preserve"> perda de controle sobre o ativo e lock-in — o caso mais extremo é o HP Instant Ink, cujos termos bloqueiam cartuchos de terceiros mesmo após cancelamento, com firmware que inutiliza cartuchos não-HP, já alvo de ação coletiva nos EUA (</w:t>
      </w:r>
      <w:hyperlink w:history="1" r:id="rIdboxvnzkud26naf0y8tpl_">
        <w:r>
          <w:rPr>
            <w:rStyle w:val="Hyperlink"/>
            <w:color w:val="1155CC"/>
            <w:sz w:val="19"/>
            <w:szCs w:val="19"/>
            <w:u w:val="single"/>
          </w:rPr>
          <w:t xml:space="preserve">TechRadar</w:t>
        </w:r>
      </w:hyperlink>
      <w:r>
        <w:rPr>
          <w:color w:val="222222"/>
          <w:sz w:val="21"/>
          <w:szCs w:val="21"/>
        </w:rPr>
        <w:t xml:space="preserve">). </w:t>
      </w:r>
      <w:r>
        <w:rPr>
          <w:b/>
          <w:bCs/>
          <w:color w:val="2A005D"/>
          <w:sz w:val="21"/>
          <w:szCs w:val="21"/>
        </w:rPr>
        <w:t xml:space="preserve">Fornecedor — a favor:</w:t>
      </w:r>
      <w:r>
        <w:rPr>
          <w:color w:val="222222"/>
          <w:sz w:val="21"/>
          <w:szCs w:val="21"/>
        </w:rPr>
        <w:t xml:space="preserve"> receita recorrente, maior lifetime value, barreira de saída para o cliente. </w:t>
      </w:r>
      <w:r>
        <w:rPr>
          <w:b/>
          <w:bCs/>
          <w:color w:val="2A005D"/>
          <w:sz w:val="21"/>
          <w:szCs w:val="21"/>
        </w:rPr>
        <w:t xml:space="preserve">Fornecedor — contra:</w:t>
      </w:r>
      <w:r>
        <w:rPr>
          <w:color w:val="222222"/>
          <w:sz w:val="21"/>
          <w:szCs w:val="21"/>
        </w:rPr>
        <w:t xml:space="preserve"> necessidade de capital para financiar o parque (por isso Xerox usou joint ventures com GE Capital e depois PEAC Solutions em vez de carregar tudo no próprio balanço), risco de margem se o volume cair mais rápido que o previsto — exatamente o que aconteceu com a digitalização — e o "paradoxo da servitização" documentado na literatura acadêmica: fabricantes que investem pesado em serviço nem sempre recuperam esse investimento em retorno financeiro (</w:t>
      </w:r>
      <w:hyperlink w:history="1" r:id="rId0s1h_hefasigpy_akig8r">
        <w:r>
          <w:rPr>
            <w:rStyle w:val="Hyperlink"/>
            <w:color w:val="1155CC"/>
            <w:sz w:val="19"/>
            <w:szCs w:val="19"/>
            <w:u w:val="single"/>
          </w:rPr>
          <w:t xml:space="preserve">Emerald</w:t>
        </w:r>
      </w:hyperlink>
      <w:r>
        <w:rPr>
          <w:color w:val="222222"/>
          <w:sz w:val="21"/>
          <w:szCs w:val="21"/>
        </w:rPr>
        <w:t xml:space="preserve">).</w:t>
      </w:r>
    </w:p>
    <w:p>
      <w:pPr>
        <w:pStyle w:val="Heading2"/>
        <w:spacing w:after="100" w:before="260"/>
      </w:pPr>
      <w:r>
        <w:rPr>
          <w:b/>
          <w:bCs/>
          <w:color w:val="4B238D"/>
          <w:sz w:val="22"/>
          <w:szCs w:val="22"/>
        </w:rPr>
        <w:t xml:space="preserve">Mecânica financeira</w:t>
      </w:r>
    </w:p>
    <w:p>
      <w:pPr>
        <w:spacing w:after="160" w:line="300"/>
      </w:pPr>
      <w:r>
        <w:rPr>
          <w:color w:val="222222"/>
          <w:sz w:val="21"/>
          <w:szCs w:val="21"/>
        </w:rPr>
        <w:t xml:space="preserve">A Xerox nunca financiou 100% sozinha: em 2001 fechou parceria de 8 anos com a GE Capital (81% de participação na joint venture de financiamento de equipamentos), e hoje usa a rede FITTLE/PEAC Solutions, com estrutura de "forward funding" — um parceiro financeiro compra os contratos/recebíveis, permitindo à Xerox reciclar capital (</w:t>
      </w:r>
      <w:hyperlink w:history="1" r:id="rId3m1cm7dqfj9yc8e0jgt--">
        <w:r>
          <w:rPr>
            <w:rStyle w:val="Hyperlink"/>
            <w:color w:val="1155CC"/>
            <w:sz w:val="19"/>
            <w:szCs w:val="19"/>
            <w:u w:val="single"/>
          </w:rPr>
          <w:t xml:space="preserve">GE News</w:t>
        </w:r>
      </w:hyperlink>
      <w:r>
        <w:rPr>
          <w:color w:val="222222"/>
          <w:sz w:val="21"/>
          <w:szCs w:val="21"/>
        </w:rPr>
        <w:t xml:space="preserve">). Do lado HP, a lógica é clássica de "razor-and-blades": a impressora é vendida a preço de custo ou prejuízo (perda de US$30-40/unidade em alguns casos), recuperada em poucos meses via tinta/toner com margens de 500-1000% (</w:t>
      </w:r>
      <w:hyperlink w:history="1" r:id="rIdhz55h7dmco5g6fvx9kqo4">
        <w:r>
          <w:rPr>
            <w:rStyle w:val="Hyperlink"/>
            <w:color w:val="1155CC"/>
            <w:sz w:val="19"/>
            <w:szCs w:val="19"/>
            <w:u w:val="single"/>
          </w:rPr>
          <w:t xml:space="preserve">Feedough</w:t>
        </w:r>
      </w:hyperlink>
      <w:r>
        <w:rPr>
          <w:color w:val="222222"/>
          <w:sz w:val="21"/>
          <w:szCs w:val="21"/>
        </w:rPr>
        <w:t xml:space="preserve">). No MPS, o custo do hardware é amortizado ao longo do contrato e embutido na tarifa por página; receita reconhecida mês a mês pelo uso medido, não integralmente no momento da venda.</w:t>
      </w:r>
    </w:p>
    <w:p>
      <w:pPr>
        <w:pStyle w:val="Heading2"/>
        <w:spacing w:after="100" w:before="260"/>
      </w:pPr>
      <w:r>
        <w:rPr>
          <w:b/>
          <w:bCs/>
          <w:color w:val="4B238D"/>
          <w:sz w:val="22"/>
          <w:szCs w:val="22"/>
        </w:rPr>
        <w:t xml:space="preserve">Como é vendido</w:t>
      </w:r>
    </w:p>
    <w:p>
      <w:pPr>
        <w:spacing w:after="160" w:line="300"/>
      </w:pPr>
      <w:r>
        <w:rPr>
          <w:color w:val="222222"/>
          <w:sz w:val="21"/>
          <w:szCs w:val="21"/>
        </w:rPr>
        <w:t xml:space="preserve">Sim, motion diferente: "workplace assessment" consultivo antes da venda, contratos negociados com TI/procurement (não só facilities), portal de fleet management pós-venda. A imprensa especializada descreve como desafio central a "reinvenção de canal" da Xerox — parte do canal ainda é treinada para vender "caixas" (</w:t>
      </w:r>
      <w:hyperlink w:history="1" r:id="rIdvpxdvozjq-qcrn61d158m">
        <w:r>
          <w:rPr>
            <w:rStyle w:val="Hyperlink"/>
            <w:color w:val="1155CC"/>
            <w:sz w:val="19"/>
            <w:szCs w:val="19"/>
            <w:u w:val="single"/>
          </w:rPr>
          <w:t xml:space="preserve">RTM World</w:t>
        </w:r>
      </w:hyperlink>
      <w:r>
        <w:rPr>
          <w:color w:val="222222"/>
          <w:sz w:val="21"/>
          <w:szCs w:val="21"/>
        </w:rPr>
        <w:t xml:space="preserve">). Há evidência de resistência organizacional: relatos de funcionários mencionam cortes/achatamento de comissões durante a transição (</w:t>
      </w:r>
      <w:hyperlink w:history="1" r:id="rIdvrosvhzs0yg34lbrdi5c_">
        <w:r>
          <w:rPr>
            <w:rStyle w:val="Hyperlink"/>
            <w:color w:val="1155CC"/>
            <w:sz w:val="19"/>
            <w:szCs w:val="19"/>
            <w:u w:val="single"/>
          </w:rPr>
          <w:t xml:space="preserve">Glassdoor</w:t>
        </w:r>
      </w:hyperlink>
      <w:r>
        <w:rPr>
          <w:color w:val="222222"/>
          <w:sz w:val="21"/>
          <w:szCs w:val="21"/>
        </w:rPr>
        <w:t xml:space="preserve">).</w:t>
      </w:r>
    </w:p>
    <w:p>
      <w:pPr>
        <w:spacing w:after="160" w:line="300"/>
      </w:pPr>
      <w:r>
        <w:rPr>
          <w:b/>
          <w:bCs/>
          <w:color w:val="2A005D"/>
          <w:sz w:val="21"/>
          <w:szCs w:val="21"/>
        </w:rPr>
        <w:t xml:space="preserve">Nota de transparência:</w:t>
      </w:r>
      <w:r>
        <w:rPr>
          <w:color w:val="222222"/>
          <w:sz w:val="21"/>
          <w:szCs w:val="21"/>
        </w:rPr>
        <w:t xml:space="preserve"> não foi localizado um case da HBS especificamente sobre essa transição (existe um case HBS sobre a Xerox, mas é sobre o programa de qualidade dos anos 80 — </w:t>
      </w:r>
      <w:hyperlink w:history="1" r:id="rId_twilirv0o0-xw67ishfa">
        <w:r>
          <w:rPr>
            <w:rStyle w:val="Hyperlink"/>
            <w:color w:val="1155CC"/>
            <w:sz w:val="19"/>
            <w:szCs w:val="19"/>
            <w:u w:val="single"/>
          </w:rPr>
          <w:t xml:space="preserve">HBS</w:t>
        </w:r>
      </w:hyperlink>
      <w:r>
        <w:rPr>
          <w:color w:val="222222"/>
          <w:sz w:val="21"/>
          <w:szCs w:val="21"/>
        </w:rPr>
        <w:t xml:space="preserve">).</w:t>
      </w:r>
    </w:p>
    <w:p>
      <w:pPr>
        <w:spacing w:after="160" w:line="300"/>
      </w:pPr>
      <w:r>
        <w:rPr>
          <w:b/>
          <w:bCs/>
          <w:color w:val="2A005D"/>
          <w:sz w:val="21"/>
          <w:szCs w:val="21"/>
        </w:rPr>
        <w:t xml:space="preserve">Fontes:</w:t>
      </w:r>
      <w:r>
        <w:rPr>
          <w:color w:val="222222"/>
          <w:sz w:val="21"/>
          <w:szCs w:val="21"/>
        </w:rPr>
        <w:t xml:space="preserve"> </w:t>
      </w:r>
      <w:hyperlink w:history="1" r:id="rIdla6w_tpw8oxzxkvjt8rxh">
        <w:r>
          <w:rPr>
            <w:rStyle w:val="Hyperlink"/>
            <w:color w:val="1155CC"/>
            <w:sz w:val="19"/>
            <w:szCs w:val="19"/>
            <w:u w:val="single"/>
          </w:rPr>
          <w:t xml:space="preserve">Strategyzer</w:t>
        </w:r>
      </w:hyperlink>
      <w:r>
        <w:rPr>
          <w:color w:val="222222"/>
          <w:sz w:val="21"/>
          <w:szCs w:val="21"/>
        </w:rPr>
        <w:t xml:space="preserve"> · </w:t>
      </w:r>
      <w:hyperlink w:history="1" r:id="rIdwlbkngmulzienvmr_3dck">
        <w:r>
          <w:rPr>
            <w:rStyle w:val="Hyperlink"/>
            <w:color w:val="1155CC"/>
            <w:sz w:val="19"/>
            <w:szCs w:val="19"/>
            <w:u w:val="single"/>
          </w:rPr>
          <w:t xml:space="preserve">Morningstar</w:t>
        </w:r>
      </w:hyperlink>
      <w:r>
        <w:rPr>
          <w:color w:val="222222"/>
          <w:sz w:val="21"/>
          <w:szCs w:val="21"/>
        </w:rPr>
        <w:t xml:space="preserve"> · </w:t>
      </w:r>
      <w:hyperlink w:history="1" r:id="rId_hhimjsunpj1v2xsvxfzz">
        <w:r>
          <w:rPr>
            <w:rStyle w:val="Hyperlink"/>
            <w:color w:val="1155CC"/>
            <w:sz w:val="19"/>
            <w:szCs w:val="19"/>
            <w:u w:val="single"/>
          </w:rPr>
          <w:t xml:space="preserve">Xerox MPS Advantages</w:t>
        </w:r>
      </w:hyperlink>
      <w:r>
        <w:rPr>
          <w:color w:val="222222"/>
          <w:sz w:val="21"/>
          <w:szCs w:val="21"/>
        </w:rPr>
        <w:t xml:space="preserve"> · </w:t>
      </w:r>
      <w:hyperlink w:history="1" r:id="rId3xtljxvdoafgbvutaq8ff">
        <w:r>
          <w:rPr>
            <w:rStyle w:val="Hyperlink"/>
            <w:color w:val="1155CC"/>
            <w:sz w:val="19"/>
            <w:szCs w:val="19"/>
            <w:u w:val="single"/>
          </w:rPr>
          <w:t xml:space="preserve">The Register</w:t>
        </w:r>
      </w:hyperlink>
      <w:r>
        <w:rPr>
          <w:color w:val="222222"/>
          <w:sz w:val="21"/>
          <w:szCs w:val="21"/>
        </w:rPr>
        <w:t xml:space="preserve"> · </w:t>
      </w:r>
      <w:hyperlink w:history="1" r:id="rId3jbjzuygc4vbbq6krcuc4">
        <w:r>
          <w:rPr>
            <w:rStyle w:val="Hyperlink"/>
            <w:color w:val="1155CC"/>
            <w:sz w:val="19"/>
            <w:szCs w:val="19"/>
            <w:u w:val="single"/>
          </w:rPr>
          <w:t xml:space="preserve">Xerox NYC case</w:t>
        </w:r>
      </w:hyperlink>
      <w:r>
        <w:rPr>
          <w:color w:val="222222"/>
          <w:sz w:val="21"/>
          <w:szCs w:val="21"/>
        </w:rPr>
        <w:t xml:space="preserve"> · </w:t>
      </w:r>
      <w:hyperlink w:history="1" r:id="rIdasqwwbcdqden7kljed7tv">
        <w:r>
          <w:rPr>
            <w:rStyle w:val="Hyperlink"/>
            <w:color w:val="1155CC"/>
            <w:sz w:val="19"/>
            <w:szCs w:val="19"/>
            <w:u w:val="single"/>
          </w:rPr>
          <w:t xml:space="preserve">GE/Xerox financing</w:t>
        </w:r>
      </w:hyperlink>
      <w:r>
        <w:rPr>
          <w:color w:val="222222"/>
          <w:sz w:val="21"/>
          <w:szCs w:val="21"/>
        </w:rPr>
        <w:t xml:space="preserve"> · </w:t>
      </w:r>
      <w:hyperlink w:history="1" r:id="rIdxqiqj8hjtsqyt26i80x0c">
        <w:r>
          <w:rPr>
            <w:rStyle w:val="Hyperlink"/>
            <w:color w:val="1155CC"/>
            <w:sz w:val="19"/>
            <w:szCs w:val="19"/>
            <w:u w:val="single"/>
          </w:rPr>
          <w:t xml:space="preserve">Feedough — razor and blades</w:t>
        </w:r>
      </w:hyperlink>
      <w:r>
        <w:rPr>
          <w:color w:val="222222"/>
          <w:sz w:val="21"/>
          <w:szCs w:val="21"/>
        </w:rPr>
        <w:t xml:space="preserve"> · </w:t>
      </w:r>
      <w:hyperlink w:history="1" r:id="rIdqommsmog40vqme_c6xoz_">
        <w:r>
          <w:rPr>
            <w:rStyle w:val="Hyperlink"/>
            <w:color w:val="1155CC"/>
            <w:sz w:val="19"/>
            <w:szCs w:val="19"/>
            <w:u w:val="single"/>
          </w:rPr>
          <w:t xml:space="preserve">Servitization paradox — Emerald</w:t>
        </w:r>
      </w:hyperlink>
      <w:r>
        <w:rPr>
          <w:color w:val="222222"/>
          <w:sz w:val="21"/>
          <w:szCs w:val="21"/>
        </w:rPr>
        <w:t xml:space="preserve"> · </w:t>
      </w:r>
      <w:hyperlink w:history="1" r:id="rId7pclfwiuo8li1mhnhcl53">
        <w:r>
          <w:rPr>
            <w:rStyle w:val="Hyperlink"/>
            <w:color w:val="1155CC"/>
            <w:sz w:val="19"/>
            <w:szCs w:val="19"/>
            <w:u w:val="single"/>
          </w:rPr>
          <w:t xml:space="preserve">RTM World</w:t>
        </w:r>
      </w:hyperlink>
      <w:r>
        <w:rPr>
          <w:color w:val="222222"/>
          <w:sz w:val="21"/>
          <w:szCs w:val="21"/>
        </w:rPr>
        <w:t xml:space="preserve"> · </w:t>
      </w:r>
      <w:hyperlink w:history="1" r:id="rIdeymdenp_tlknvvt3frn8b">
        <w:r>
          <w:rPr>
            <w:rStyle w:val="Hyperlink"/>
            <w:color w:val="1155CC"/>
            <w:sz w:val="19"/>
            <w:szCs w:val="19"/>
            <w:u w:val="single"/>
          </w:rPr>
          <w:t xml:space="preserve">SEC 8-K 2015</w:t>
        </w:r>
      </w:hyperlink>
    </w:p>
    <w:p>
      <w:r>
        <w:br w:type="page"/>
      </w:r>
    </w:p>
    <w:p>
      <w:pPr>
        <w:pStyle w:val="Heading1"/>
        <w:pBdr>
          <w:bottom w:val="single" w:color="4B238D" w:sz="6" w:space="4"/>
        </w:pBdr>
        <w:spacing w:after="160" w:before="380"/>
      </w:pPr>
      <w:r>
        <w:rPr>
          <w:b/>
          <w:bCs/>
          <w:color w:val="2A005D"/>
          <w:sz w:val="28"/>
          <w:szCs w:val="28"/>
        </w:rPr>
        <w:t xml:space="preserve">2. Kaeser Kompressoren — Sigma Air Utility (ar comprimido como serviço)</w:t>
      </w:r>
    </w:p>
    <w:p>
      <w:pPr>
        <w:spacing w:after="240"/>
      </w:pPr>
      <w:r>
        <w:rPr>
          <w:i/>
          <w:iCs/>
          <w:color w:val="555555"/>
          <w:sz w:val="19"/>
          <w:szCs w:val="19"/>
        </w:rPr>
        <w:t xml:space="preserve">Nota metodológica da pesquisa: não foi localizado case HBS ou IMD específico sobre este caso, apesar de busca dedicada; o mais próximo é um capítulo acadêmico Springer sobre a transformação digital da Kaeser.</w:t>
      </w:r>
    </w:p>
    <w:p>
      <w:pPr>
        <w:pStyle w:val="Heading2"/>
        <w:spacing w:after="100" w:before="260"/>
      </w:pPr>
      <w:r>
        <w:rPr>
          <w:b/>
          <w:bCs/>
          <w:color w:val="4B238D"/>
          <w:sz w:val="22"/>
          <w:szCs w:val="22"/>
        </w:rPr>
        <w:t xml:space="preserve">Antes (o modelo antigo)</w:t>
      </w:r>
    </w:p>
    <w:p>
      <w:pPr>
        <w:spacing w:after="160" w:line="300"/>
      </w:pPr>
      <w:r>
        <w:rPr>
          <w:color w:val="222222"/>
          <w:sz w:val="21"/>
          <w:szCs w:val="21"/>
        </w:rPr>
        <w:t xml:space="preserve">A Kaeser é uma empresa familiar alemã fundada em 1919, hoje com ~8.000 funcionários e receita de ~€1,6 bi (2023) (</w:t>
      </w:r>
      <w:hyperlink w:history="1" r:id="rIdxdkbe7ozhdcwwaf7zfxoa">
        <w:r>
          <w:rPr>
            <w:rStyle w:val="Hyperlink"/>
            <w:color w:val="1155CC"/>
            <w:sz w:val="19"/>
            <w:szCs w:val="19"/>
            <w:u w:val="single"/>
          </w:rPr>
          <w:t xml:space="preserve">Wikipedia DE</w:t>
        </w:r>
      </w:hyperlink>
      <w:r>
        <w:rPr>
          <w:color w:val="222222"/>
          <w:sz w:val="21"/>
          <w:szCs w:val="21"/>
        </w:rPr>
        <w:t xml:space="preserve">). Historicamente vendia compressores como bem de capital: o cliente comprava, registrava no balanço e assumia sozinho operação, manutenção e custo de energia pelo resto da vida útil. Setor descrito como de "alta competição" com pressão de comoditização ao longo de três décadas (</w:t>
      </w:r>
      <w:hyperlink w:history="1" r:id="rIdj2dxzcxlfcaol1xoihv7q">
        <w:r>
          <w:rPr>
            <w:rStyle w:val="Hyperlink"/>
            <w:color w:val="1155CC"/>
            <w:sz w:val="19"/>
            <w:szCs w:val="19"/>
            <w:u w:val="single"/>
          </w:rPr>
          <w:t xml:space="preserve">Springer/RePEc</w:t>
        </w:r>
      </w:hyperlink>
      <w:r>
        <w:rPr>
          <w:color w:val="222222"/>
          <w:sz w:val="21"/>
          <w:szCs w:val="21"/>
        </w:rPr>
        <w:t xml:space="preserve">). Para o comercial, sucesso era fechar a venda do hardware — depois disso, nenhum stake financeiro em como a máquina era usada, inclusive nenhum incentivo em eficiência energética pós-venda.</w:t>
      </w:r>
    </w:p>
    <w:p>
      <w:pPr>
        <w:pStyle w:val="Heading2"/>
        <w:spacing w:after="100" w:before="260"/>
      </w:pPr>
      <w:r>
        <w:rPr>
          <w:b/>
          <w:bCs/>
          <w:color w:val="4B238D"/>
          <w:sz w:val="22"/>
          <w:szCs w:val="22"/>
        </w:rPr>
        <w:t xml:space="preserve">Depois (o modelo novo)</w:t>
      </w:r>
    </w:p>
    <w:p>
      <w:pPr>
        <w:spacing w:after="160" w:line="300"/>
      </w:pPr>
      <w:r>
        <w:rPr>
          <w:color w:val="222222"/>
          <w:sz w:val="21"/>
          <w:szCs w:val="21"/>
        </w:rPr>
        <w:t xml:space="preserve">No Sigma Air Utility ("operator model"), a Kaeser projeta, instala, opera e mantém toda a estação de ar comprimido na planta do cliente, mas </w:t>
      </w:r>
      <w:r>
        <w:rPr>
          <w:b/>
          <w:bCs/>
          <w:color w:val="2A005D"/>
          <w:sz w:val="21"/>
          <w:szCs w:val="21"/>
        </w:rPr>
        <w:t xml:space="preserve">permanece proprietária dos equipamentos</w:t>
      </w:r>
      <w:r>
        <w:rPr>
          <w:color w:val="222222"/>
          <w:sz w:val="21"/>
          <w:szCs w:val="21"/>
        </w:rPr>
        <w:t xml:space="preserve">. O cliente compra ar comprimido por m³ (Nm³), com preço-base fixo cobrindo um volume acordado mais tarifa adicional para excedente — preços fixos por toda a duração do contrato (</w:t>
      </w:r>
      <w:hyperlink w:history="1" r:id="rIdtfdikfe-iissniiibtaae">
        <w:r>
          <w:rPr>
            <w:rStyle w:val="Hyperlink"/>
            <w:color w:val="1155CC"/>
            <w:sz w:val="19"/>
            <w:szCs w:val="19"/>
            <w:u w:val="single"/>
          </w:rPr>
          <w:t xml:space="preserve">Kaeser via HPC Compressors</w:t>
        </w:r>
      </w:hyperlink>
      <w:r>
        <w:rPr>
          <w:color w:val="222222"/>
          <w:sz w:val="21"/>
          <w:szCs w:val="21"/>
        </w:rPr>
        <w:t xml:space="preserve">). Sistema monitorado remotamente 24/7 via sensores IoT integrados ao SAP Data Hub/Analytics Cloud, com manutenção preditiva (</w:t>
      </w:r>
      <w:hyperlink w:history="1" r:id="rId613d1wg7azp8pmtviw3eu">
        <w:r>
          <w:rPr>
            <w:rStyle w:val="Hyperlink"/>
            <w:color w:val="1155CC"/>
            <w:sz w:val="19"/>
            <w:szCs w:val="19"/>
            <w:u w:val="single"/>
          </w:rPr>
          <w:t xml:space="preserve">Diginomica</w:t>
        </w:r>
      </w:hyperlink>
      <w:r>
        <w:rPr>
          <w:color w:val="222222"/>
          <w:sz w:val="21"/>
          <w:szCs w:val="21"/>
        </w:rPr>
        <w:t xml:space="preserve">).</w:t>
      </w:r>
    </w:p>
    <w:p>
      <w:pPr>
        <w:pStyle w:val="Heading2"/>
        <w:spacing w:after="100" w:before="260"/>
      </w:pPr>
      <w:r>
        <w:rPr>
          <w:b/>
          <w:bCs/>
          <w:color w:val="4B238D"/>
          <w:sz w:val="22"/>
          <w:szCs w:val="22"/>
        </w:rPr>
        <w:t xml:space="preserve">Ganho da empresa</w:t>
      </w:r>
    </w:p>
    <w:p>
      <w:pPr>
        <w:spacing w:after="160" w:line="300"/>
      </w:pPr>
      <w:r>
        <w:rPr>
          <w:color w:val="222222"/>
          <w:sz w:val="21"/>
          <w:szCs w:val="21"/>
        </w:rPr>
        <w:t xml:space="preserve">Receita recorrente atrelada ao consumo real, relação de longo prazo gerando dados que retroalimentam o desenvolvimento de produto (</w:t>
      </w:r>
      <w:hyperlink w:history="1" r:id="rId8ixctkzvg4_qywpnfcoy8">
        <w:r>
          <w:rPr>
            <w:rStyle w:val="Hyperlink"/>
            <w:color w:val="1155CC"/>
            <w:sz w:val="19"/>
            <w:szCs w:val="19"/>
            <w:u w:val="single"/>
          </w:rPr>
          <w:t xml:space="preserve">CMSWire</w:t>
        </w:r>
      </w:hyperlink>
      <w:r>
        <w:rPr>
          <w:color w:val="222222"/>
          <w:sz w:val="21"/>
          <w:szCs w:val="21"/>
        </w:rPr>
        <w:t xml:space="preserve">). </w:t>
      </w:r>
      <w:r>
        <w:rPr>
          <w:b/>
          <w:bCs/>
          <w:color w:val="2A005D"/>
          <w:sz w:val="21"/>
          <w:szCs w:val="21"/>
        </w:rPr>
        <w:t xml:space="preserve">Lacuna sinalizada:</w:t>
      </w:r>
      <w:r>
        <w:rPr>
          <w:color w:val="222222"/>
          <w:sz w:val="21"/>
          <w:szCs w:val="21"/>
        </w:rPr>
        <w:t xml:space="preserve"> não há números públicos verificáveis de % de receita recorrente, margem ou payback por contrato — a Kaeser não divulga isso publicamente.</w:t>
      </w:r>
    </w:p>
    <w:p>
      <w:pPr>
        <w:pStyle w:val="Heading2"/>
        <w:spacing w:after="100" w:before="260"/>
      </w:pPr>
      <w:r>
        <w:rPr>
          <w:b/>
          <w:bCs/>
          <w:color w:val="4B238D"/>
          <w:sz w:val="22"/>
          <w:szCs w:val="22"/>
        </w:rPr>
        <w:t xml:space="preserve">Ganho do cliente</w:t>
      </w:r>
    </w:p>
    <w:p>
      <w:pPr>
        <w:spacing w:after="160" w:line="300"/>
      </w:pPr>
      <w:r>
        <w:rPr>
          <w:color w:val="222222"/>
          <w:sz w:val="21"/>
          <w:szCs w:val="21"/>
        </w:rPr>
        <w:t xml:space="preserve">BASF Coatings (Münster): preço fixo para 30 milhões de Nm³/ano, economia de </w:t>
      </w:r>
      <w:r>
        <w:rPr>
          <w:b/>
          <w:bCs/>
          <w:color w:val="2A005D"/>
          <w:sz w:val="21"/>
          <w:szCs w:val="21"/>
        </w:rPr>
        <w:t xml:space="preserve">€30.000/ano</w:t>
      </w:r>
      <w:r>
        <w:rPr>
          <w:color w:val="222222"/>
          <w:sz w:val="21"/>
          <w:szCs w:val="21"/>
        </w:rPr>
        <w:t xml:space="preserve"> (</w:t>
      </w:r>
      <w:hyperlink w:history="1" r:id="rIdkuyhgei2o_zzenwyu_4db">
        <w:r>
          <w:rPr>
            <w:rStyle w:val="Hyperlink"/>
            <w:color w:val="1155CC"/>
            <w:sz w:val="19"/>
            <w:szCs w:val="19"/>
            <w:u w:val="single"/>
          </w:rPr>
          <w:t xml:space="preserve">Kaeser</w:t>
        </w:r>
      </w:hyperlink>
      <w:r>
        <w:rPr>
          <w:color w:val="222222"/>
          <w:sz w:val="21"/>
          <w:szCs w:val="21"/>
        </w:rPr>
        <w:t xml:space="preserve">). Fabricante metalúrgica: contracting sem investimento de capital para três compressores (</w:t>
      </w:r>
      <w:hyperlink w:history="1" r:id="rIdfuxbr_wox1_yfuylqwere">
        <w:r>
          <w:rPr>
            <w:rStyle w:val="Hyperlink"/>
            <w:color w:val="1155CC"/>
            <w:sz w:val="19"/>
            <w:szCs w:val="19"/>
            <w:u w:val="single"/>
          </w:rPr>
          <w:t xml:space="preserve">Kaeser</w:t>
        </w:r>
      </w:hyperlink>
      <w:r>
        <w:rPr>
          <w:color w:val="222222"/>
          <w:sz w:val="21"/>
          <w:szCs w:val="21"/>
        </w:rPr>
        <w:t xml:space="preserve">). Fornecedor Tier-1 automotivo: acesso a incentivos/rebates de eficiência via Sigma Air Manager. Uma planta industrial teve potencial de </w:t>
      </w:r>
      <w:r>
        <w:rPr>
          <w:b/>
          <w:bCs/>
          <w:color w:val="2A005D"/>
          <w:sz w:val="21"/>
          <w:szCs w:val="21"/>
        </w:rPr>
        <w:t xml:space="preserve">75% de economia de energia</w:t>
      </w:r>
      <w:r>
        <w:rPr>
          <w:color w:val="222222"/>
          <w:sz w:val="21"/>
          <w:szCs w:val="21"/>
        </w:rPr>
        <w:t xml:space="preserve"> identificado (</w:t>
      </w:r>
      <w:hyperlink w:history="1" r:id="rIdndt1r7ou9ezoknaigsnc4">
        <w:r>
          <w:rPr>
            <w:rStyle w:val="Hyperlink"/>
            <w:color w:val="1155CC"/>
            <w:sz w:val="19"/>
            <w:szCs w:val="19"/>
            <w:u w:val="single"/>
          </w:rPr>
          <w:t xml:space="preserve">Kaeser</w:t>
        </w:r>
      </w:hyperlink>
      <w:r>
        <w:rPr>
          <w:color w:val="222222"/>
          <w:sz w:val="21"/>
          <w:szCs w:val="21"/>
        </w:rPr>
        <w:t xml:space="preserve">). Benefícios recorrentes: zero CAPEX, ativo fora do balanço, despesa tratável como OPEX, liberação da equipe própria de manutenção.</w:t>
      </w:r>
    </w:p>
    <w:p>
      <w:pPr>
        <w:pStyle w:val="Heading2"/>
        <w:spacing w:after="100" w:before="260"/>
      </w:pPr>
      <w:r>
        <w:rPr>
          <w:b/>
          <w:bCs/>
          <w:color w:val="4B238D"/>
          <w:sz w:val="22"/>
          <w:szCs w:val="22"/>
        </w:rPr>
        <w:t xml:space="preserve">O que o cliente "leva"</w:t>
      </w:r>
    </w:p>
    <w:p>
      <w:pPr>
        <w:spacing w:after="160" w:line="300"/>
      </w:pPr>
      <w:r>
        <w:rPr>
          <w:color w:val="222222"/>
          <w:sz w:val="21"/>
          <w:szCs w:val="21"/>
        </w:rPr>
        <w:t xml:space="preserve">Nada fisicamente — "a estação de ar comprimido permanece propriedade do fabricante, e o operador usa o ar comprimido como eletricidade da tomada" (</w:t>
      </w:r>
      <w:hyperlink w:history="1" r:id="rIdjwbu0recriewvawwowuon">
        <w:r>
          <w:rPr>
            <w:rStyle w:val="Hyperlink"/>
            <w:color w:val="1155CC"/>
            <w:sz w:val="19"/>
            <w:szCs w:val="19"/>
            <w:u w:val="single"/>
          </w:rPr>
          <w:t xml:space="preserve">produktion.de</w:t>
        </w:r>
      </w:hyperlink>
      <w:r>
        <w:rPr>
          <w:color w:val="222222"/>
          <w:sz w:val="21"/>
          <w:szCs w:val="21"/>
        </w:rPr>
        <w:t xml:space="preserve">). Recebe fornecimento garantido de ar (pressão/qualidade/vazão contratadas) com SLA de disponibilidade e teto de preço fixo — sem ativo depreciável no balanço.</w:t>
      </w:r>
    </w:p>
    <w:p>
      <w:pPr>
        <w:pStyle w:val="Heading2"/>
        <w:spacing w:after="100" w:before="260"/>
      </w:pPr>
      <w:r>
        <w:rPr>
          <w:b/>
          <w:bCs/>
          <w:color w:val="4B238D"/>
          <w:sz w:val="22"/>
          <w:szCs w:val="22"/>
        </w:rPr>
        <w:t xml:space="preserve">Vantagens e desvantagens</w:t>
      </w:r>
    </w:p>
    <w:p>
      <w:pPr>
        <w:spacing w:after="160" w:line="300"/>
      </w:pPr>
      <w:r>
        <w:rPr>
          <w:b/>
          <w:bCs/>
          <w:color w:val="2A005D"/>
          <w:sz w:val="21"/>
          <w:szCs w:val="21"/>
        </w:rPr>
        <w:t xml:space="preserve">Cliente:</w:t>
      </w:r>
      <w:r>
        <w:rPr>
          <w:color w:val="222222"/>
          <w:sz w:val="21"/>
          <w:szCs w:val="21"/>
        </w:rPr>
        <w:t xml:space="preserve"> ganha previsibilidade e eficiência garantida, tratamento off-balance-sheet; perde controle sobre a escolha do equipamento/fornecedor e assume dependência de longo prazo de um único parceiro. A literatura de servitização é cética em geral: fornecedores servitizados enfrentam maior risco de insolvência e nem sempre capturam receita/lucro proporcional ao investido em serviço — o "service/servitization paradox" (</w:t>
      </w:r>
      <w:hyperlink w:history="1" r:id="rIdmfvekashyp2apc_qb4sp5">
        <w:r>
          <w:rPr>
            <w:rStyle w:val="Hyperlink"/>
            <w:color w:val="1155CC"/>
            <w:sz w:val="19"/>
            <w:szCs w:val="19"/>
            <w:u w:val="single"/>
          </w:rPr>
          <w:t xml:space="preserve">Frontiers in Psychology</w:t>
        </w:r>
      </w:hyperlink>
      <w:r>
        <w:rPr>
          <w:color w:val="222222"/>
          <w:sz w:val="21"/>
          <w:szCs w:val="21"/>
        </w:rPr>
        <w:t xml:space="preserve">). </w:t>
      </w:r>
      <w:r>
        <w:rPr>
          <w:b/>
          <w:bCs/>
          <w:color w:val="2A005D"/>
          <w:sz w:val="21"/>
          <w:szCs w:val="21"/>
        </w:rPr>
        <w:t xml:space="preserve">Kaeser:</w:t>
      </w:r>
      <w:r>
        <w:rPr>
          <w:color w:val="222222"/>
          <w:sz w:val="21"/>
          <w:szCs w:val="21"/>
        </w:rPr>
        <w:t xml:space="preserve"> ganha receita recorrente e relação mais profunda, mas assume capital intensivo (possui estações em múltiplos sites de clientes), payback mais longo por contrato e risco operacional que antes era do cliente.</w:t>
      </w:r>
    </w:p>
    <w:p>
      <w:pPr>
        <w:pStyle w:val="Heading2"/>
        <w:spacing w:after="100" w:before="260"/>
      </w:pPr>
      <w:r>
        <w:rPr>
          <w:b/>
          <w:bCs/>
          <w:color w:val="4B238D"/>
          <w:sz w:val="22"/>
          <w:szCs w:val="22"/>
        </w:rPr>
        <w:t xml:space="preserve">Mecânica financeira — o ponto central do caso</w:t>
      </w:r>
    </w:p>
    <w:p>
      <w:pPr>
        <w:spacing w:after="160" w:line="300"/>
      </w:pPr>
      <w:r>
        <w:rPr>
          <w:color w:val="222222"/>
          <w:sz w:val="21"/>
          <w:szCs w:val="21"/>
        </w:rPr>
        <w:t xml:space="preserve">A Kaeser mantém a propriedade da estação (CAPEX no seu próprio balanço) e reconhece receita como tarifa recorrente por m³. </w:t>
      </w:r>
      <w:r>
        <w:rPr>
          <w:b/>
          <w:bCs/>
          <w:color w:val="2A005D"/>
          <w:sz w:val="21"/>
          <w:szCs w:val="21"/>
        </w:rPr>
        <w:t xml:space="preserve">O mecanismo mais importante:</w:t>
      </w:r>
      <w:r>
        <w:rPr>
          <w:color w:val="222222"/>
          <w:sz w:val="21"/>
          <w:szCs w:val="21"/>
        </w:rPr>
        <w:t xml:space="preserve"> como a energia elétrica normalmente é a maior fatia do custo total de operar um compressor ao longo da vida útil, ao vender ar a um preço fixo por m³ a Kaeser passa a arcar internamente com esse custo de energia dentro da tarifa. Isso </w:t>
      </w:r>
      <w:r>
        <w:rPr>
          <w:b/>
          <w:bCs/>
          <w:color w:val="2A005D"/>
          <w:sz w:val="21"/>
          <w:szCs w:val="21"/>
        </w:rPr>
        <w:t xml:space="preserve">inverte o incentivo</w:t>
      </w:r>
      <w:r>
        <w:rPr>
          <w:color w:val="222222"/>
          <w:sz w:val="21"/>
          <w:szCs w:val="21"/>
        </w:rPr>
        <w:t xml:space="preserve">: no modelo antigo, uma máquina ineficiente prejudicava só o cliente; no Sigma Air Utility, cada kWh economizado (compressores de velocidade variável, recuperação de calor, redução de vazamentos, manutenção preditiva) cai diretamente na margem da própria Kaeser (</w:t>
      </w:r>
      <w:hyperlink w:history="1" r:id="rIdkpdvyzehgca1xsb9fbpnz">
        <w:r>
          <w:rPr>
            <w:rStyle w:val="Hyperlink"/>
            <w:color w:val="1155CC"/>
            <w:sz w:val="19"/>
            <w:szCs w:val="19"/>
            <w:u w:val="single"/>
          </w:rPr>
          <w:t xml:space="preserve">Kaeser Talks Shop</w:t>
        </w:r>
      </w:hyperlink>
      <w:r>
        <w:rPr>
          <w:color w:val="222222"/>
          <w:sz w:val="21"/>
          <w:szCs w:val="21"/>
        </w:rPr>
        <w:t xml:space="preserve">). É por isso que a eficiência energética vira fonte de lucro, não apenas discurso.</w:t>
      </w:r>
    </w:p>
    <w:p>
      <w:pPr>
        <w:pStyle w:val="Heading2"/>
        <w:spacing w:after="100" w:before="260"/>
      </w:pPr>
      <w:r>
        <w:rPr>
          <w:b/>
          <w:bCs/>
          <w:color w:val="4B238D"/>
          <w:sz w:val="22"/>
          <w:szCs w:val="22"/>
        </w:rPr>
        <w:t xml:space="preserve">Como é vendido</w:t>
      </w:r>
    </w:p>
    <w:p>
      <w:pPr>
        <w:spacing w:after="160" w:line="300"/>
      </w:pPr>
      <w:r>
        <w:rPr>
          <w:color w:val="222222"/>
          <w:sz w:val="21"/>
          <w:szCs w:val="21"/>
        </w:rPr>
        <w:t xml:space="preserve">Cotado via auditoria técnica customizada do perfil de demanda do cliente (ex. KAESER Energy-Saving System), não tabela de preço de hardware — cada proposta é um estudo técnico-econômico. </w:t>
      </w:r>
      <w:r>
        <w:rPr>
          <w:b/>
          <w:bCs/>
          <w:color w:val="2A005D"/>
          <w:sz w:val="21"/>
          <w:szCs w:val="21"/>
        </w:rPr>
        <w:t xml:space="preserve">Lacuna sinalizada:</w:t>
      </w:r>
      <w:r>
        <w:rPr>
          <w:color w:val="222222"/>
          <w:sz w:val="21"/>
          <w:szCs w:val="21"/>
        </w:rPr>
        <w:t xml:space="preserve"> não há documentação pública sobre estrutura organizacional interna (equipe dedicada vs. vendas tradicionais) nem narrativa de change management da transição.</w:t>
      </w:r>
    </w:p>
    <w:p>
      <w:pPr>
        <w:spacing w:after="160" w:line="300"/>
      </w:pPr>
      <w:r>
        <w:rPr>
          <w:b/>
          <w:bCs/>
          <w:color w:val="2A005D"/>
          <w:sz w:val="21"/>
          <w:szCs w:val="21"/>
        </w:rPr>
        <w:t xml:space="preserve">Fontes:</w:t>
      </w:r>
      <w:r>
        <w:rPr>
          <w:color w:val="222222"/>
          <w:sz w:val="21"/>
          <w:szCs w:val="21"/>
        </w:rPr>
        <w:t xml:space="preserve"> </w:t>
      </w:r>
      <w:hyperlink w:history="1" r:id="rIdrf6lxfv5xqipwxmlkow3f">
        <w:r>
          <w:rPr>
            <w:rStyle w:val="Hyperlink"/>
            <w:color w:val="1155CC"/>
            <w:sz w:val="19"/>
            <w:szCs w:val="19"/>
            <w:u w:val="single"/>
          </w:rPr>
          <w:t xml:space="preserve">Sigma Air Utility — HPC Compressors</w:t>
        </w:r>
      </w:hyperlink>
      <w:r>
        <w:rPr>
          <w:color w:val="222222"/>
          <w:sz w:val="21"/>
          <w:szCs w:val="21"/>
        </w:rPr>
        <w:t xml:space="preserve"> · </w:t>
      </w:r>
      <w:hyperlink w:history="1" r:id="rIdnmgte1b40tcvwhhhrtbzl">
        <w:r>
          <w:rPr>
            <w:rStyle w:val="Hyperlink"/>
            <w:color w:val="1155CC"/>
            <w:sz w:val="19"/>
            <w:szCs w:val="19"/>
            <w:u w:val="single"/>
          </w:rPr>
          <w:t xml:space="preserve">Caso BASF</w:t>
        </w:r>
      </w:hyperlink>
      <w:r>
        <w:rPr>
          <w:color w:val="222222"/>
          <w:sz w:val="21"/>
          <w:szCs w:val="21"/>
        </w:rPr>
        <w:t xml:space="preserve"> · </w:t>
      </w:r>
      <w:hyperlink w:history="1" r:id="rIdsj4qz2ctsflgdj8x7gg_s">
        <w:r>
          <w:rPr>
            <w:rStyle w:val="Hyperlink"/>
            <w:color w:val="1155CC"/>
            <w:sz w:val="19"/>
            <w:szCs w:val="19"/>
            <w:u w:val="single"/>
          </w:rPr>
          <w:t xml:space="preserve">Diginomica/SAP TechEd</w:t>
        </w:r>
      </w:hyperlink>
      <w:r>
        <w:rPr>
          <w:color w:val="222222"/>
          <w:sz w:val="21"/>
          <w:szCs w:val="21"/>
        </w:rPr>
        <w:t xml:space="preserve"> · </w:t>
      </w:r>
      <w:hyperlink w:history="1" r:id="rId7pbxjnrhiygzksnhypweb">
        <w:r>
          <w:rPr>
            <w:rStyle w:val="Hyperlink"/>
            <w:color w:val="1155CC"/>
            <w:sz w:val="19"/>
            <w:szCs w:val="19"/>
            <w:u w:val="single"/>
          </w:rPr>
          <w:t xml:space="preserve">Kaeser Talks Shop</w:t>
        </w:r>
      </w:hyperlink>
      <w:r>
        <w:rPr>
          <w:color w:val="222222"/>
          <w:sz w:val="21"/>
          <w:szCs w:val="21"/>
        </w:rPr>
        <w:t xml:space="preserve"> · </w:t>
      </w:r>
      <w:hyperlink w:history="1" r:id="rId10mr55wkejeorr92mdqtv">
        <w:r>
          <w:rPr>
            <w:rStyle w:val="Hyperlink"/>
            <w:color w:val="1155CC"/>
            <w:sz w:val="19"/>
            <w:szCs w:val="19"/>
            <w:u w:val="single"/>
          </w:rPr>
          <w:t xml:space="preserve">CMSWire</w:t>
        </w:r>
      </w:hyperlink>
      <w:r>
        <w:rPr>
          <w:color w:val="222222"/>
          <w:sz w:val="21"/>
          <w:szCs w:val="21"/>
        </w:rPr>
        <w:t xml:space="preserve"> · </w:t>
      </w:r>
      <w:hyperlink w:history="1" r:id="rIdtggmojfqbtvxfohie6zy1">
        <w:r>
          <w:rPr>
            <w:rStyle w:val="Hyperlink"/>
            <w:color w:val="1155CC"/>
            <w:sz w:val="19"/>
            <w:szCs w:val="19"/>
            <w:u w:val="single"/>
          </w:rPr>
          <w:t xml:space="preserve">Servitization paradox — Frontiers</w:t>
        </w:r>
      </w:hyperlink>
      <w:r>
        <w:rPr>
          <w:color w:val="222222"/>
          <w:sz w:val="21"/>
          <w:szCs w:val="21"/>
        </w:rPr>
        <w:t xml:space="preserve"> · </w:t>
      </w:r>
      <w:hyperlink w:history="1" r:id="rId5zqmjd9oo5tbvbvemsklv">
        <w:r>
          <w:rPr>
            <w:rStyle w:val="Hyperlink"/>
            <w:color w:val="1155CC"/>
            <w:sz w:val="19"/>
            <w:szCs w:val="19"/>
            <w:u w:val="single"/>
          </w:rPr>
          <w:t xml:space="preserve">Springer/RePEc — Industry 4.0 at Kaeser</w:t>
        </w:r>
      </w:hyperlink>
    </w:p>
    <w:p>
      <w:r>
        <w:br w:type="page"/>
      </w:r>
    </w:p>
    <w:p>
      <w:pPr>
        <w:pStyle w:val="Heading1"/>
        <w:pBdr>
          <w:bottom w:val="single" w:color="4B238D" w:sz="6" w:space="4"/>
        </w:pBdr>
        <w:spacing w:after="160" w:before="380"/>
      </w:pPr>
      <w:r>
        <w:rPr>
          <w:b/>
          <w:bCs/>
          <w:color w:val="2A005D"/>
          <w:sz w:val="28"/>
          <w:szCs w:val="28"/>
        </w:rPr>
        <w:t xml:space="preserve">3. Signify / Philips — "Pay-per-Lux" (iluminação como serviço)</w:t>
      </w:r>
    </w:p>
    <w:p>
      <w:pPr>
        <w:pStyle w:val="Heading2"/>
        <w:spacing w:after="100" w:before="260"/>
      </w:pPr>
      <w:r>
        <w:rPr>
          <w:b/>
          <w:bCs/>
          <w:color w:val="4B238D"/>
          <w:sz w:val="22"/>
          <w:szCs w:val="22"/>
        </w:rPr>
        <w:t xml:space="preserve">Antes (o modelo antigo)</w:t>
      </w:r>
    </w:p>
    <w:p>
      <w:pPr>
        <w:spacing w:after="160" w:line="300"/>
      </w:pPr>
      <w:r>
        <w:rPr>
          <w:color w:val="222222"/>
          <w:sz w:val="21"/>
          <w:szCs w:val="21"/>
        </w:rPr>
        <w:t xml:space="preserve">Até o início dos anos 2010, a Philips Lighting vendia luminárias e lâmpadas (inclusive incandescentes) como produtos únicos. Por volta de 2006, a iluminação representava ~30% da receita total da Philips, majoritariamente por venda de incandescentes — alto volume, baixa recorrência, forte dependência de reposição por queima (</w:t>
      </w:r>
      <w:hyperlink w:history="1" r:id="rIdnzwd0bpqgb6rfxhqiu7r8">
        <w:r>
          <w:rPr>
            <w:rStyle w:val="Hyperlink"/>
            <w:color w:val="1155CC"/>
            <w:sz w:val="19"/>
            <w:szCs w:val="19"/>
            <w:u w:val="single"/>
          </w:rPr>
          <w:t xml:space="preserve">Forbes</w:t>
        </w:r>
      </w:hyperlink>
      <w:r>
        <w:rPr>
          <w:color w:val="222222"/>
          <w:sz w:val="21"/>
          <w:szCs w:val="21"/>
        </w:rPr>
        <w:t xml:space="preserve">). Isso gerava o "paradoxo da obsolescência": o lucro dependia da venda repetida de lâmpadas que queimavam, enquanto a empresa se posicionava como líder em sustentabilidade. Com a chegada do LED (25.000-50.000h de vida útil), o conflito ficou explícito: produtos mais duráveis geram menos receita de reposição no modelo de venda transacional.</w:t>
      </w:r>
    </w:p>
    <w:p>
      <w:pPr>
        <w:pStyle w:val="Heading2"/>
        <w:spacing w:after="100" w:before="260"/>
      </w:pPr>
      <w:r>
        <w:rPr>
          <w:b/>
          <w:bCs/>
          <w:color w:val="4B238D"/>
          <w:sz w:val="22"/>
          <w:szCs w:val="22"/>
        </w:rPr>
        <w:t xml:space="preserve">Depois (o modelo novo)</w:t>
      </w:r>
    </w:p>
    <w:p>
      <w:pPr>
        <w:spacing w:after="160" w:line="300"/>
      </w:pPr>
      <w:r>
        <w:rPr>
          <w:color w:val="222222"/>
          <w:sz w:val="21"/>
          <w:szCs w:val="21"/>
        </w:rPr>
        <w:t xml:space="preserve">O "Pay-per-Lux" nasceu por volta de 2011-2012, de parceria entre a Philips e o arquiteto Thomas Rau, cuja frase resume a proposta: *"Não estou interessado no produto, apenas na performance. Quero comprar luz, e nada mais"* (</w:t>
      </w:r>
      <w:hyperlink w:history="1" r:id="rIdd8_wngkawycwonq-c33rs">
        <w:r>
          <w:rPr>
            <w:rStyle w:val="Hyperlink"/>
            <w:color w:val="1155CC"/>
            <w:sz w:val="19"/>
            <w:szCs w:val="19"/>
            <w:u w:val="single"/>
          </w:rPr>
          <w:t xml:space="preserve">Atlas of the Future</w:t>
        </w:r>
      </w:hyperlink>
      <w:r>
        <w:rPr>
          <w:color w:val="222222"/>
          <w:sz w:val="21"/>
          <w:szCs w:val="21"/>
        </w:rPr>
        <w:t xml:space="preserve">). No contrato com o </w:t>
      </w:r>
      <w:r>
        <w:rPr>
          <w:b/>
          <w:bCs/>
          <w:color w:val="2A005D"/>
          <w:sz w:val="21"/>
          <w:szCs w:val="21"/>
        </w:rPr>
        <w:t xml:space="preserve">Aeroporto de Schiphol</w:t>
      </w:r>
      <w:r>
        <w:rPr>
          <w:color w:val="222222"/>
          <w:sz w:val="21"/>
          <w:szCs w:val="21"/>
        </w:rPr>
        <w:t xml:space="preserve"> (2015, com a Philips e a ENGIE/Cofely como operadora local): a Philips </w:t>
      </w:r>
      <w:r>
        <w:rPr>
          <w:b/>
          <w:bCs/>
          <w:color w:val="2A005D"/>
          <w:sz w:val="21"/>
          <w:szCs w:val="21"/>
        </w:rPr>
        <w:t xml:space="preserve">permanece proprietária de ~3.700 luminárias</w:t>
      </w:r>
      <w:r>
        <w:rPr>
          <w:color w:val="222222"/>
          <w:sz w:val="21"/>
          <w:szCs w:val="21"/>
        </w:rPr>
        <w:t xml:space="preserve">; Schiphol paga tarifa mensal por luz consumida, não pelo equipamento; Philips e Cofely são conjuntamente responsáveis pela intensidade/confiabilidade via </w:t>
      </w:r>
      <w:r>
        <w:rPr>
          <w:b/>
          <w:bCs/>
          <w:color w:val="2A005D"/>
          <w:sz w:val="21"/>
          <w:szCs w:val="21"/>
        </w:rPr>
        <w:t xml:space="preserve">KPIs</w:t>
      </w:r>
      <w:r>
        <w:rPr>
          <w:color w:val="222222"/>
          <w:sz w:val="21"/>
          <w:szCs w:val="21"/>
        </w:rPr>
        <w:t xml:space="preserve">, com a Cofely mantendo presença 24h no local; ao fim do contrato os equipamentos retornam à Philips para reuso/reciclagem (</w:t>
      </w:r>
      <w:hyperlink w:history="1" r:id="rIdzustlic6zwsd8bo-pwj2n">
        <w:r>
          <w:rPr>
            <w:rStyle w:val="Hyperlink"/>
            <w:color w:val="1155CC"/>
            <w:sz w:val="19"/>
            <w:szCs w:val="19"/>
            <w:u w:val="single"/>
          </w:rPr>
          <w:t xml:space="preserve">Signify</w:t>
        </w:r>
      </w:hyperlink>
      <w:r>
        <w:rPr>
          <w:color w:val="222222"/>
          <w:sz w:val="21"/>
          <w:szCs w:val="21"/>
        </w:rPr>
        <w:t xml:space="preserve">). Sistema reduziu consumo elétrico em </w:t>
      </w:r>
      <w:r>
        <w:rPr>
          <w:b/>
          <w:bCs/>
          <w:color w:val="2A005D"/>
          <w:sz w:val="21"/>
          <w:szCs w:val="21"/>
        </w:rPr>
        <w:t xml:space="preserve">50%</w:t>
      </w:r>
      <w:r>
        <w:rPr>
          <w:color w:val="222222"/>
          <w:sz w:val="21"/>
          <w:szCs w:val="21"/>
        </w:rPr>
        <w:t xml:space="preserve">, luminárias projetadas para durar 75% mais. No </w:t>
      </w:r>
      <w:r>
        <w:rPr>
          <w:b/>
          <w:bCs/>
          <w:color w:val="2A005D"/>
          <w:sz w:val="21"/>
          <w:szCs w:val="21"/>
        </w:rPr>
        <w:t xml:space="preserve">WMATA</w:t>
      </w:r>
      <w:r>
        <w:rPr>
          <w:color w:val="222222"/>
          <w:sz w:val="21"/>
          <w:szCs w:val="21"/>
        </w:rPr>
        <w:t xml:space="preserve"> (metrô de Washington DC, 2013, 10 anos): mais de 13.000 luminárias convertidas para LED com controles adaptativos, </w:t>
      </w:r>
      <w:r>
        <w:rPr>
          <w:b/>
          <w:bCs/>
          <w:color w:val="2A005D"/>
          <w:sz w:val="21"/>
          <w:szCs w:val="21"/>
        </w:rPr>
        <w:t xml:space="preserve">sem custo inicial</w:t>
      </w:r>
      <w:r>
        <w:rPr>
          <w:color w:val="222222"/>
          <w:sz w:val="21"/>
          <w:szCs w:val="21"/>
        </w:rPr>
        <w:t xml:space="preserve">, remunerado por contrato de performance vinculado à economia gerada.</w:t>
      </w:r>
    </w:p>
    <w:p>
      <w:pPr>
        <w:spacing w:after="240"/>
      </w:pPr>
      <w:r>
        <w:rPr>
          <w:i/>
          <w:iCs/>
          <w:color w:val="555555"/>
          <w:sz w:val="19"/>
          <w:szCs w:val="19"/>
        </w:rPr>
        <w:t xml:space="preserve">Nota: a decomposição "35% LED + 20% gestão ativa" mencionada anteriormente não foi confirmada em nenhuma fonte primária — o número documentado é a redução agregada de 50%, sem quebra entre os dois componentes. Não usar essa decomposição sem confirmação adicional.</w:t>
      </w:r>
    </w:p>
    <w:p>
      <w:pPr>
        <w:pStyle w:val="Heading2"/>
        <w:spacing w:after="100" w:before="260"/>
      </w:pPr>
      <w:r>
        <w:rPr>
          <w:b/>
          <w:bCs/>
          <w:color w:val="4B238D"/>
          <w:sz w:val="22"/>
          <w:szCs w:val="22"/>
        </w:rPr>
        <w:t xml:space="preserve">Ganho da empresa</w:t>
      </w:r>
    </w:p>
    <w:p>
      <w:pPr>
        <w:spacing w:after="160" w:line="300"/>
      </w:pPr>
      <w:r>
        <w:rPr>
          <w:color w:val="222222"/>
          <w:sz w:val="21"/>
          <w:szCs w:val="21"/>
        </w:rPr>
        <w:t xml:space="preserve">Conversão de receita transacional em recorrente e contratual (10+ anos), relação contínua com o cliente, e recuperação de controle sobre o fim de vida dos materiais — a Philips recolhe e recicla componentes ao término do contrato (</w:t>
      </w:r>
      <w:hyperlink w:history="1" r:id="rIdbpvuijfc8tfjeqz6epj8h">
        <w:r>
          <w:rPr>
            <w:rStyle w:val="Hyperlink"/>
            <w:color w:val="1155CC"/>
            <w:sz w:val="19"/>
            <w:szCs w:val="19"/>
            <w:u w:val="single"/>
          </w:rPr>
          <w:t xml:space="preserve">Circle Lab</w:t>
        </w:r>
      </w:hyperlink>
      <w:r>
        <w:rPr>
          <w:color w:val="222222"/>
          <w:sz w:val="21"/>
          <w:szCs w:val="21"/>
        </w:rPr>
        <w:t xml:space="preserve">). A Signify (sucessora, IPO em 2016) reporta hoje "receita circular" como métrica formal: </w:t>
      </w:r>
      <w:r>
        <w:rPr>
          <w:b/>
          <w:bCs/>
          <w:color w:val="2A005D"/>
          <w:sz w:val="21"/>
          <w:szCs w:val="21"/>
        </w:rPr>
        <w:t xml:space="preserve">37% das vendas</w:t>
      </w:r>
      <w:r>
        <w:rPr>
          <w:color w:val="222222"/>
          <w:sz w:val="21"/>
          <w:szCs w:val="21"/>
        </w:rPr>
        <w:t xml:space="preserve"> no último resultado encontrado, superando meta de 32% para 2025 (</w:t>
      </w:r>
      <w:hyperlink w:history="1" r:id="rIdh3mmt5u5gsxstic-p_tu0">
        <w:r>
          <w:rPr>
            <w:rStyle w:val="Hyperlink"/>
            <w:color w:val="1155CC"/>
            <w:sz w:val="19"/>
            <w:szCs w:val="19"/>
            <w:u w:val="single"/>
          </w:rPr>
          <w:t xml:space="preserve">Signify FY2025</w:t>
        </w:r>
      </w:hyperlink>
      <w:r>
        <w:rPr>
          <w:color w:val="222222"/>
          <w:sz w:val="21"/>
          <w:szCs w:val="21"/>
        </w:rPr>
        <w:t xml:space="preserve">). </w:t>
      </w:r>
      <w:r>
        <w:rPr>
          <w:b/>
          <w:bCs/>
          <w:color w:val="2A005D"/>
          <w:sz w:val="21"/>
          <w:szCs w:val="21"/>
        </w:rPr>
        <w:t xml:space="preserve">Lacuna:</w:t>
      </w:r>
      <w:r>
        <w:rPr>
          <w:color w:val="222222"/>
          <w:sz w:val="21"/>
          <w:szCs w:val="21"/>
        </w:rPr>
        <w:t xml:space="preserve"> não há quebra financeira (margem/payback/TIR) específica dos contratos Schiphol ou WMATA nas fontes públicas.</w:t>
      </w:r>
    </w:p>
    <w:p>
      <w:pPr>
        <w:pStyle w:val="Heading2"/>
        <w:spacing w:after="100" w:before="260"/>
      </w:pPr>
      <w:r>
        <w:rPr>
          <w:b/>
          <w:bCs/>
          <w:color w:val="4B238D"/>
          <w:sz w:val="22"/>
          <w:szCs w:val="22"/>
        </w:rPr>
        <w:t xml:space="preserve">Ganho do cliente</w:t>
      </w:r>
    </w:p>
    <w:p>
      <w:pPr>
        <w:spacing w:after="160" w:line="300"/>
      </w:pPr>
      <w:r>
        <w:rPr>
          <w:color w:val="222222"/>
          <w:sz w:val="21"/>
          <w:szCs w:val="21"/>
        </w:rPr>
        <w:t xml:space="preserve">Schiphol: 50% de redução no consumo elétrico, luminárias com vida útil 75% maior, sem CAPEX/estoque/mão de obra de manutenção. WMATA: </w:t>
      </w:r>
      <w:r>
        <w:rPr>
          <w:b/>
          <w:bCs/>
          <w:color w:val="2A005D"/>
          <w:sz w:val="21"/>
          <w:szCs w:val="21"/>
        </w:rPr>
        <w:t xml:space="preserve">68% de redução no uso de energia</w:t>
      </w:r>
      <w:r>
        <w:rPr>
          <w:color w:val="222222"/>
          <w:sz w:val="21"/>
          <w:szCs w:val="21"/>
        </w:rPr>
        <w:t xml:space="preserve">, equivalente a </w:t>
      </w:r>
      <w:r>
        <w:rPr>
          <w:b/>
          <w:bCs/>
          <w:color w:val="2A005D"/>
          <w:sz w:val="21"/>
          <w:szCs w:val="21"/>
        </w:rPr>
        <w:t xml:space="preserve">15 milhões de kWh/ano economizados</w:t>
      </w:r>
      <w:r>
        <w:rPr>
          <w:color w:val="222222"/>
          <w:sz w:val="21"/>
          <w:szCs w:val="21"/>
        </w:rPr>
        <w:t xml:space="preserve">, mais de </w:t>
      </w:r>
      <w:r>
        <w:rPr>
          <w:b/>
          <w:bCs/>
          <w:color w:val="2A005D"/>
          <w:sz w:val="21"/>
          <w:szCs w:val="21"/>
        </w:rPr>
        <w:t xml:space="preserve">11.000 toneladas de CO2 evitadas</w:t>
      </w:r>
      <w:r>
        <w:rPr>
          <w:color w:val="222222"/>
          <w:sz w:val="21"/>
          <w:szCs w:val="21"/>
        </w:rPr>
        <w:t xml:space="preserve">, transição sem custo inicial, retrofit pago pela própria economia gerada (~</w:t>
      </w:r>
      <w:r>
        <w:rPr>
          <w:b/>
          <w:bCs/>
          <w:color w:val="2A005D"/>
          <w:sz w:val="21"/>
          <w:szCs w:val="21"/>
        </w:rPr>
        <w:t xml:space="preserve">US$2 milhões/ano</w:t>
      </w:r>
      <w:r>
        <w:rPr>
          <w:color w:val="222222"/>
          <w:sz w:val="21"/>
          <w:szCs w:val="21"/>
        </w:rPr>
        <w:t xml:space="preserve"> em savings) (</w:t>
      </w:r>
      <w:hyperlink w:history="1" r:id="rIdallaa0pcwsdqzqzmhoh1c">
        <w:r>
          <w:rPr>
            <w:rStyle w:val="Hyperlink"/>
            <w:color w:val="1155CC"/>
            <w:sz w:val="19"/>
            <w:szCs w:val="19"/>
            <w:u w:val="single"/>
          </w:rPr>
          <w:t xml:space="preserve">Signify WMATA</w:t>
        </w:r>
      </w:hyperlink>
      <w:r>
        <w:rPr>
          <w:color w:val="222222"/>
          <w:sz w:val="21"/>
          <w:szCs w:val="21"/>
        </w:rPr>
        <w:t xml:space="preserve">).</w:t>
      </w:r>
    </w:p>
    <w:p>
      <w:pPr>
        <w:pStyle w:val="Heading2"/>
        <w:spacing w:after="100" w:before="260"/>
      </w:pPr>
      <w:r>
        <w:rPr>
          <w:b/>
          <w:bCs/>
          <w:color w:val="4B238D"/>
          <w:sz w:val="22"/>
          <w:szCs w:val="22"/>
        </w:rPr>
        <w:t xml:space="preserve">O que o cliente "leva"</w:t>
      </w:r>
    </w:p>
    <w:p>
      <w:pPr>
        <w:spacing w:after="160" w:line="300"/>
      </w:pPr>
      <w:r>
        <w:rPr>
          <w:color w:val="222222"/>
          <w:sz w:val="21"/>
          <w:szCs w:val="21"/>
        </w:rPr>
        <w:t xml:space="preserve">Nenhum equipamento físico — a Philips/Signify (e, em Schiphol, também a Cofely) retém a propriedade durante todo o contrato. O cliente recebe: o serviço de iluminação (luz garantida por SLA/KPI), dados de desempenho em tempo real, ausência de CAPEX e responsabilidade operacional, e nenhum ativo residual ao fim do contrato — troca explícita de propriedade por performance garantida.</w:t>
      </w:r>
    </w:p>
    <w:p>
      <w:pPr>
        <w:pStyle w:val="Heading2"/>
        <w:spacing w:after="100" w:before="260"/>
      </w:pPr>
      <w:r>
        <w:rPr>
          <w:b/>
          <w:bCs/>
          <w:color w:val="4B238D"/>
          <w:sz w:val="22"/>
          <w:szCs w:val="22"/>
        </w:rPr>
        <w:t xml:space="preserve">Vantagens e desvantagens</w:t>
      </w:r>
    </w:p>
    <w:p>
      <w:pPr>
        <w:spacing w:after="160" w:line="300"/>
      </w:pPr>
      <w:r>
        <w:rPr>
          <w:b/>
          <w:bCs/>
          <w:color w:val="2A005D"/>
          <w:sz w:val="21"/>
          <w:szCs w:val="21"/>
        </w:rPr>
        <w:t xml:space="preserve">Cliente — a favor:</w:t>
      </w:r>
      <w:r>
        <w:rPr>
          <w:color w:val="222222"/>
          <w:sz w:val="21"/>
          <w:szCs w:val="21"/>
        </w:rPr>
        <w:t xml:space="preserve"> eliminação de CAPEX, transferência de risco técnico/obsolescência, economia comprovada (50-68%), dados para relatórios ESG. </w:t>
      </w:r>
      <w:r>
        <w:rPr>
          <w:b/>
          <w:bCs/>
          <w:color w:val="2A005D"/>
          <w:sz w:val="21"/>
          <w:szCs w:val="21"/>
        </w:rPr>
        <w:t xml:space="preserve">Cliente — contra:</w:t>
      </w:r>
      <w:r>
        <w:rPr>
          <w:color w:val="222222"/>
          <w:sz w:val="21"/>
          <w:szCs w:val="21"/>
        </w:rPr>
        <w:t xml:space="preserve"> contratos de 10+ anos geram lock-in real, exigem cláusulas de saída bem negociadas; um exemplo concreto de atrito é o </w:t>
      </w:r>
      <w:r>
        <w:rPr>
          <w:b/>
          <w:bCs/>
          <w:color w:val="2A005D"/>
          <w:sz w:val="21"/>
          <w:szCs w:val="21"/>
        </w:rPr>
        <w:t xml:space="preserve">litígio WMATA x Philips</w:t>
      </w:r>
      <w:r>
        <w:rPr>
          <w:color w:val="222222"/>
          <w:sz w:val="21"/>
          <w:szCs w:val="21"/>
        </w:rPr>
        <w:t xml:space="preserve">: a Armed Services Board of Contract Appeals decidiu que o não pagamento de faturas pela WMATA foi quebra material de contrato, determinando pagamento de </w:t>
      </w:r>
      <w:r>
        <w:rPr>
          <w:b/>
          <w:bCs/>
          <w:color w:val="2A005D"/>
          <w:sz w:val="21"/>
          <w:szCs w:val="21"/>
        </w:rPr>
        <w:t xml:space="preserve">US$10,7 milhões</w:t>
      </w:r>
      <w:r>
        <w:rPr>
          <w:color w:val="222222"/>
          <w:sz w:val="21"/>
          <w:szCs w:val="21"/>
        </w:rPr>
        <w:t xml:space="preserve"> — evidência de que contratos de performance plurianuais no setor público geram disputas de faturamento que não existiriam numa compra de capital simples (</w:t>
      </w:r>
      <w:hyperlink w:history="1" r:id="rIdh1qlhiyvqxvlmemzpfuiy">
        <w:r>
          <w:rPr>
            <w:rStyle w:val="Hyperlink"/>
            <w:color w:val="1155CC"/>
            <w:sz w:val="19"/>
            <w:szCs w:val="19"/>
            <w:u w:val="single"/>
          </w:rPr>
          <w:t xml:space="preserve">Bloomberg Law</w:t>
        </w:r>
      </w:hyperlink>
      <w:r>
        <w:rPr>
          <w:color w:val="222222"/>
          <w:sz w:val="21"/>
          <w:szCs w:val="21"/>
        </w:rPr>
        <w:t xml:space="preserve">). </w:t>
      </w:r>
      <w:r>
        <w:rPr>
          <w:b/>
          <w:bCs/>
          <w:color w:val="2A005D"/>
          <w:sz w:val="21"/>
          <w:szCs w:val="21"/>
        </w:rPr>
        <w:t xml:space="preserve">Philips/Signify — a favor:</w:t>
      </w:r>
      <w:r>
        <w:rPr>
          <w:color w:val="222222"/>
          <w:sz w:val="21"/>
          <w:szCs w:val="21"/>
        </w:rPr>
        <w:t xml:space="preserve"> receita recorrente, relação de longo prazo, controle sobre fim de vida do ativo. </w:t>
      </w:r>
      <w:r>
        <w:rPr>
          <w:b/>
          <w:bCs/>
          <w:color w:val="2A005D"/>
          <w:sz w:val="21"/>
          <w:szCs w:val="21"/>
        </w:rPr>
        <w:t xml:space="preserve">Philips/Signify — contra:</w:t>
      </w:r>
      <w:r>
        <w:rPr>
          <w:color w:val="222222"/>
          <w:sz w:val="21"/>
          <w:szCs w:val="21"/>
        </w:rPr>
        <w:t xml:space="preserve"> vida útil muito longa da luminária (75% mais que convencional em Schiphol) significa payback lento — a empresa carrega capital investido (ou depende de parceiro ESCO como a Cofely) por muitos anos antes de recuperar valor, e assume risco de crédito/performance do cliente, como o próprio caso WMATA mostrou.</w:t>
      </w:r>
    </w:p>
    <w:p>
      <w:pPr>
        <w:pStyle w:val="Heading2"/>
        <w:spacing w:after="100" w:before="260"/>
      </w:pPr>
      <w:r>
        <w:rPr>
          <w:b/>
          <w:bCs/>
          <w:color w:val="4B238D"/>
          <w:sz w:val="22"/>
          <w:szCs w:val="22"/>
        </w:rPr>
        <w:t xml:space="preserve">Mecânica financeira</w:t>
      </w:r>
    </w:p>
    <w:p>
      <w:pPr>
        <w:spacing w:after="160" w:line="300"/>
      </w:pPr>
      <w:r>
        <w:rPr>
          <w:color w:val="222222"/>
          <w:sz w:val="21"/>
          <w:szCs w:val="21"/>
        </w:rPr>
        <w:t xml:space="preserve">Receita reconhecida ao longo da vida do contrato como tarifa recorrente vinculada a KPIs de performance (não integralmente no momento da venda). O financiamento do CAPEX inicial é adiantado pela própria Philips ou por parceiro de energy services (em Schiphol, a Cofely/ENGIE atua como ESCO — Energy Service Company, corresponsável pela operação e possivelmente parte do financiamento); no WMATA, o retrofit foi amortizado pela própria economia de energia gerada dentro do contrato de performance. A lógica de fundo: como a Philips retém a propriedade, tem incentivo direto para projetar produtos duráveis/recicláveis, porque recupera o ativo ao fim do contrato e reaproveita materiais — reduzindo custo de matéria-prima em vez de o ativo virar resíduo no cliente. Esse alinhamento é o núcleo do case da </w:t>
      </w:r>
      <w:r>
        <w:rPr>
          <w:b/>
          <w:bCs/>
          <w:color w:val="2A005D"/>
          <w:sz w:val="21"/>
          <w:szCs w:val="21"/>
        </w:rPr>
        <w:t xml:space="preserve">Harvard Business School "Philips Lighting: Light-as-a-Service"</w:t>
      </w:r>
      <w:r>
        <w:rPr>
          <w:color w:val="222222"/>
          <w:sz w:val="21"/>
          <w:szCs w:val="21"/>
        </w:rPr>
        <w:t xml:space="preserve"> (caso 719-446, 2019, Kramer/Geradts/Nadella) e do estudo da Ellen MacArthur Foundation — texto completo do HBS pago, não acessado integralmente (</w:t>
      </w:r>
      <w:hyperlink w:history="1" r:id="rIdmg0kdaxp_onagwsyksx0l">
        <w:r>
          <w:rPr>
            <w:rStyle w:val="Hyperlink"/>
            <w:color w:val="1155CC"/>
            <w:sz w:val="19"/>
            <w:szCs w:val="19"/>
            <w:u w:val="single"/>
          </w:rPr>
          <w:t xml:space="preserve">HBS</w:t>
        </w:r>
      </w:hyperlink>
      <w:r>
        <w:rPr>
          <w:color w:val="222222"/>
          <w:sz w:val="21"/>
          <w:szCs w:val="21"/>
        </w:rPr>
        <w:t xml:space="preserve">).</w:t>
      </w:r>
    </w:p>
    <w:p>
      <w:pPr>
        <w:pStyle w:val="Heading2"/>
        <w:spacing w:after="100" w:before="260"/>
      </w:pPr>
      <w:r>
        <w:rPr>
          <w:b/>
          <w:bCs/>
          <w:color w:val="4B238D"/>
          <w:sz w:val="22"/>
          <w:szCs w:val="22"/>
        </w:rPr>
        <w:t xml:space="preserve">Como é vendido</w:t>
      </w:r>
    </w:p>
    <w:p>
      <w:pPr>
        <w:spacing w:after="160" w:line="300"/>
      </w:pPr>
      <w:r>
        <w:rPr>
          <w:color w:val="222222"/>
          <w:sz w:val="21"/>
          <w:szCs w:val="21"/>
        </w:rPr>
        <w:t xml:space="preserve">A Signify mantém hoje linha de negócio formal "Light as a Service" dentro de "Managed Services", com contrato cobrindo todos os custos (sem taxas ocultas de design/instalação/manutenção) — coexistindo com venda tradicional de produto. Grandes contratos públicos (Schiphol, WMATA) foram estruturados como contratos de performance de longo prazo, tipicamente vendidos via parcerias com ESCOs (a Cofely em Schiphol), padrão comum em "energy performance contracting" público. </w:t>
      </w:r>
      <w:r>
        <w:rPr>
          <w:b/>
          <w:bCs/>
          <w:color w:val="2A005D"/>
          <w:sz w:val="21"/>
          <w:szCs w:val="21"/>
        </w:rPr>
        <w:t xml:space="preserve">Lacuna:</w:t>
      </w:r>
      <w:r>
        <w:rPr>
          <w:color w:val="222222"/>
          <w:sz w:val="21"/>
          <w:szCs w:val="21"/>
        </w:rPr>
        <w:t xml:space="preserve"> não há narrativa organizacional/change management detalhada nas fontes públicas — provavelmente está no case pago da HBS.</w:t>
      </w:r>
    </w:p>
    <w:p>
      <w:pPr>
        <w:spacing w:after="160" w:line="300"/>
      </w:pPr>
      <w:r>
        <w:rPr>
          <w:b/>
          <w:bCs/>
          <w:color w:val="2A005D"/>
          <w:sz w:val="21"/>
          <w:szCs w:val="21"/>
        </w:rPr>
        <w:t xml:space="preserve">Fontes:</w:t>
      </w:r>
      <w:r>
        <w:rPr>
          <w:color w:val="222222"/>
          <w:sz w:val="21"/>
          <w:szCs w:val="21"/>
        </w:rPr>
        <w:t xml:space="preserve"> </w:t>
      </w:r>
      <w:hyperlink w:history="1" r:id="rIdk108xesl4d6uvik8klvpa">
        <w:r>
          <w:rPr>
            <w:rStyle w:val="Hyperlink"/>
            <w:color w:val="1155CC"/>
            <w:sz w:val="19"/>
            <w:szCs w:val="19"/>
            <w:u w:val="single"/>
          </w:rPr>
          <w:t xml:space="preserve">Ellen MacArthur Foundation</w:t>
        </w:r>
      </w:hyperlink>
      <w:r>
        <w:rPr>
          <w:color w:val="222222"/>
          <w:sz w:val="21"/>
          <w:szCs w:val="21"/>
        </w:rPr>
        <w:t xml:space="preserve"> · </w:t>
      </w:r>
      <w:hyperlink w:history="1" r:id="rIdhi2wyp_moo2dfjm1ohpjc">
        <w:r>
          <w:rPr>
            <w:rStyle w:val="Hyperlink"/>
            <w:color w:val="1155CC"/>
            <w:sz w:val="19"/>
            <w:szCs w:val="19"/>
            <w:u w:val="single"/>
          </w:rPr>
          <w:t xml:space="preserve">Signify — Schiphol</w:t>
        </w:r>
      </w:hyperlink>
      <w:r>
        <w:rPr>
          <w:color w:val="222222"/>
          <w:sz w:val="21"/>
          <w:szCs w:val="21"/>
        </w:rPr>
        <w:t xml:space="preserve"> · </w:t>
      </w:r>
      <w:hyperlink w:history="1" r:id="rIdopz_lflmmstja9cyqhcbb">
        <w:r>
          <w:rPr>
            <w:rStyle w:val="Hyperlink"/>
            <w:color w:val="1155CC"/>
            <w:sz w:val="19"/>
            <w:szCs w:val="19"/>
            <w:u w:val="single"/>
          </w:rPr>
          <w:t xml:space="preserve">Signify — WMATA</w:t>
        </w:r>
      </w:hyperlink>
      <w:r>
        <w:rPr>
          <w:color w:val="222222"/>
          <w:sz w:val="21"/>
          <w:szCs w:val="21"/>
        </w:rPr>
        <w:t xml:space="preserve"> · </w:t>
      </w:r>
      <w:hyperlink w:history="1" r:id="rId53cnuc7gy-j-t9mdjc2jc">
        <w:r>
          <w:rPr>
            <w:rStyle w:val="Hyperlink"/>
            <w:color w:val="1155CC"/>
            <w:sz w:val="19"/>
            <w:szCs w:val="19"/>
            <w:u w:val="single"/>
          </w:rPr>
          <w:t xml:space="preserve">Bloomberg Law — litígio</w:t>
        </w:r>
      </w:hyperlink>
      <w:r>
        <w:rPr>
          <w:color w:val="222222"/>
          <w:sz w:val="21"/>
          <w:szCs w:val="21"/>
        </w:rPr>
        <w:t xml:space="preserve"> · </w:t>
      </w:r>
      <w:hyperlink w:history="1" r:id="rIdeljuflq0hyvmpe9utw5kb">
        <w:r>
          <w:rPr>
            <w:rStyle w:val="Hyperlink"/>
            <w:color w:val="1155CC"/>
            <w:sz w:val="19"/>
            <w:szCs w:val="19"/>
            <w:u w:val="single"/>
          </w:rPr>
          <w:t xml:space="preserve">Forbes</w:t>
        </w:r>
      </w:hyperlink>
      <w:r>
        <w:rPr>
          <w:color w:val="222222"/>
          <w:sz w:val="21"/>
          <w:szCs w:val="21"/>
        </w:rPr>
        <w:t xml:space="preserve"> · </w:t>
      </w:r>
      <w:hyperlink w:history="1" r:id="rIdq_egr3k6wygunirijb5yh">
        <w:r>
          <w:rPr>
            <w:rStyle w:val="Hyperlink"/>
            <w:color w:val="1155CC"/>
            <w:sz w:val="19"/>
            <w:szCs w:val="19"/>
            <w:u w:val="single"/>
          </w:rPr>
          <w:t xml:space="preserve">HBS Case 719-446</w:t>
        </w:r>
      </w:hyperlink>
      <w:r>
        <w:rPr>
          <w:color w:val="222222"/>
          <w:sz w:val="21"/>
          <w:szCs w:val="21"/>
        </w:rPr>
        <w:t xml:space="preserve"> · </w:t>
      </w:r>
      <w:hyperlink w:history="1" r:id="rId4_wi3gub9z6_ya5ignyyt">
        <w:r>
          <w:rPr>
            <w:rStyle w:val="Hyperlink"/>
            <w:color w:val="1155CC"/>
            <w:sz w:val="19"/>
            <w:szCs w:val="19"/>
            <w:u w:val="single"/>
          </w:rPr>
          <w:t xml:space="preserve">Signify FY2025 results</w:t>
        </w:r>
      </w:hyperlink>
      <w:r>
        <w:rPr>
          <w:color w:val="222222"/>
          <w:sz w:val="21"/>
          <w:szCs w:val="21"/>
        </w:rPr>
        <w:t xml:space="preserve"> · </w:t>
      </w:r>
      <w:hyperlink w:history="1" r:id="rIduazfy1gjo_6datebkgawx">
        <w:r>
          <w:rPr>
            <w:rStyle w:val="Hyperlink"/>
            <w:color w:val="1155CC"/>
            <w:sz w:val="19"/>
            <w:szCs w:val="19"/>
            <w:u w:val="single"/>
          </w:rPr>
          <w:t xml:space="preserve">Signify Managed Services</w:t>
        </w:r>
      </w:hyperlink>
    </w:p>
    <w:p>
      <w:r>
        <w:br w:type="page"/>
      </w:r>
    </w:p>
    <w:p>
      <w:pPr>
        <w:pStyle w:val="Heading1"/>
        <w:pBdr>
          <w:bottom w:val="single" w:color="4B238D" w:sz="6" w:space="4"/>
        </w:pBdr>
        <w:spacing w:after="160" w:before="380"/>
      </w:pPr>
      <w:r>
        <w:rPr>
          <w:b/>
          <w:bCs/>
          <w:color w:val="2A005D"/>
          <w:sz w:val="28"/>
          <w:szCs w:val="28"/>
        </w:rPr>
        <w:t xml:space="preserve">4. Rolls-Royce — "Power by the Hour" / TotalCare (motores de avião como serviço)</w:t>
      </w:r>
    </w:p>
    <w:p>
      <w:pPr>
        <w:spacing w:after="240"/>
      </w:pPr>
      <w:r>
        <w:rPr>
          <w:i/>
          <w:iCs/>
          <w:color w:val="555555"/>
          <w:sz w:val="19"/>
          <w:szCs w:val="19"/>
        </w:rPr>
        <w:t xml:space="preserve">O case mais estudado academicamente desta lista (Wharton, MIT Sloan, múltiplas escolas de negócio) — por isso o mais aprofundado aqui.</w:t>
      </w:r>
    </w:p>
    <w:p>
      <w:pPr>
        <w:pStyle w:val="Heading2"/>
        <w:spacing w:after="100" w:before="260"/>
      </w:pPr>
      <w:r>
        <w:rPr>
          <w:b/>
          <w:bCs/>
          <w:color w:val="4B238D"/>
          <w:sz w:val="22"/>
          <w:szCs w:val="22"/>
        </w:rPr>
        <w:t xml:space="preserve">Antes (o modelo antigo)</w:t>
      </w:r>
    </w:p>
    <w:p>
      <w:pPr>
        <w:spacing w:after="160" w:line="300"/>
      </w:pPr>
      <w:r>
        <w:rPr>
          <w:color w:val="222222"/>
          <w:sz w:val="21"/>
          <w:szCs w:val="21"/>
        </w:rPr>
        <w:t xml:space="preserve">Até meados do século XX, e de forma mais aguda com a guerra de preços entre GE, Pratt &amp; Whitney e Rolls-Royce nos anos 1980-1990, motores a jato eram vendidos como bem de capital numa transação única, negociada junto com a venda da aeronave. A concorrência empurrava os preços dos motores instalados a níveis próximos ou abaixo do custo, porque ganhar o motor de uma nova família de aeronave garantia décadas de "installed base" futura — a clássica dinâmica </w:t>
      </w:r>
      <w:r>
        <w:rPr>
          <w:b/>
          <w:bCs/>
          <w:color w:val="2A005D"/>
          <w:sz w:val="21"/>
          <w:szCs w:val="21"/>
        </w:rPr>
        <w:t xml:space="preserve">"razor and blades"</w:t>
      </w:r>
      <w:r>
        <w:rPr>
          <w:color w:val="222222"/>
          <w:sz w:val="21"/>
          <w:szCs w:val="21"/>
        </w:rPr>
        <w:t xml:space="preserve">: motor barato/subsidiado para capturar o fluxo de peças e manutenção no pós-venda (</w:t>
      </w:r>
      <w:hyperlink w:history="1" r:id="rId181ubbsdjsausxzqakv9q">
        <w:r>
          <w:rPr>
            <w:rStyle w:val="Hyperlink"/>
            <w:color w:val="1155CC"/>
            <w:sz w:val="19"/>
            <w:szCs w:val="19"/>
            <w:u w:val="single"/>
          </w:rPr>
          <w:t xml:space="preserve">Royal Aeronautical Society</w:t>
        </w:r>
      </w:hyperlink>
      <w:r>
        <w:rPr>
          <w:color w:val="222222"/>
          <w:sz w:val="21"/>
          <w:szCs w:val="21"/>
        </w:rPr>
        <w:t xml:space="preserve">). Isso gerava dois problemas: receita/lucro imprevisíveis no tempo (dependentes de quando a companhia aérea decidia fazer revisões) e desalinhamento de incentivo — quanto mais peças e horas de manutenção um motor exigisse, mais o fabricante faturava, o oposto do interesse do cliente por confiabilidade.</w:t>
      </w:r>
    </w:p>
    <w:p>
      <w:pPr>
        <w:pStyle w:val="Heading2"/>
        <w:spacing w:after="100" w:before="260"/>
      </w:pPr>
      <w:r>
        <w:rPr>
          <w:b/>
          <w:bCs/>
          <w:color w:val="4B238D"/>
          <w:sz w:val="22"/>
          <w:szCs w:val="22"/>
        </w:rPr>
        <w:t xml:space="preserve">Depois (o modelo novo)</w:t>
      </w:r>
    </w:p>
    <w:p>
      <w:pPr>
        <w:spacing w:after="160" w:line="300"/>
      </w:pPr>
      <w:r>
        <w:rPr>
          <w:color w:val="222222"/>
          <w:sz w:val="21"/>
          <w:szCs w:val="21"/>
        </w:rPr>
        <w:t xml:space="preserve">O "Power by the Hour" (PBH) foi criado pela Rolls-Royce já em </w:t>
      </w:r>
      <w:r>
        <w:rPr>
          <w:b/>
          <w:bCs/>
          <w:color w:val="2A005D"/>
          <w:sz w:val="21"/>
          <w:szCs w:val="21"/>
        </w:rPr>
        <w:t xml:space="preserve">1962</w:t>
      </w:r>
      <w:r>
        <w:rPr>
          <w:color w:val="222222"/>
          <w:sz w:val="21"/>
          <w:szCs w:val="21"/>
        </w:rPr>
        <w:t xml:space="preserve">, cobrindo motores Viper de 125 jatos executivos, como resposta à baixa confiabilidade dos primeiros turbofans (</w:t>
      </w:r>
      <w:hyperlink w:history="1" r:id="rIdokzj-nznref_xeapxegru">
        <w:r>
          <w:rPr>
            <w:rStyle w:val="Hyperlink"/>
            <w:color w:val="1155CC"/>
            <w:sz w:val="19"/>
            <w:szCs w:val="19"/>
            <w:u w:val="single"/>
          </w:rPr>
          <w:t xml:space="preserve">MRO Business Today</w:t>
        </w:r>
      </w:hyperlink>
      <w:r>
        <w:rPr>
          <w:color w:val="222222"/>
          <w:sz w:val="21"/>
          <w:szCs w:val="21"/>
        </w:rPr>
        <w:t xml:space="preserve">). Evoluiu para o programa </w:t>
      </w:r>
      <w:r>
        <w:rPr>
          <w:b/>
          <w:bCs/>
          <w:color w:val="2A005D"/>
          <w:sz w:val="21"/>
          <w:szCs w:val="21"/>
        </w:rPr>
        <w:t xml:space="preserve">TotalCare</w:t>
      </w:r>
      <w:r>
        <w:rPr>
          <w:color w:val="222222"/>
          <w:sz w:val="21"/>
          <w:szCs w:val="21"/>
        </w:rPr>
        <w:t xml:space="preserve">, lançado há quase 20 anos e hoje pilar central do negócio de motores civis. Mecanicamente: a companhia aérea continua proprietária/operadora do motor, mas contrata a Rolls-Royce para mantê-lo em condição operacional mediante tarifa fixa por hora de voo (£/efh). O contrato — um Long-Term Service Agreement (LTSA) — cobre manutenção preditiva, reparo/revisão, logística, suporte AOG (aircraft on ground) e </w:t>
      </w:r>
      <w:r>
        <w:rPr>
          <w:b/>
          <w:bCs/>
          <w:color w:val="2A005D"/>
          <w:sz w:val="21"/>
          <w:szCs w:val="21"/>
        </w:rPr>
        <w:t xml:space="preserve">Engine Health Monitoring (EHM)</w:t>
      </w:r>
      <w:r>
        <w:rPr>
          <w:color w:val="222222"/>
          <w:sz w:val="21"/>
          <w:szCs w:val="21"/>
        </w:rPr>
        <w:t xml:space="preserve">: sensores transmitem continuamente milhares de parâmetros para centros de monitoramento em terra, detectando anomalias antes de virarem falha (</w:t>
      </w:r>
      <w:hyperlink w:history="1" r:id="rIdwbb-coyht83jgajsupq5b">
        <w:r>
          <w:rPr>
            <w:rStyle w:val="Hyperlink"/>
            <w:color w:val="1155CC"/>
            <w:sz w:val="19"/>
            <w:szCs w:val="19"/>
            <w:u w:val="single"/>
          </w:rPr>
          <w:t xml:space="preserve">Rolls-Royce EHM</w:t>
        </w:r>
      </w:hyperlink>
      <w:r>
        <w:rPr>
          <w:color w:val="222222"/>
          <w:sz w:val="21"/>
          <w:szCs w:val="21"/>
        </w:rPr>
        <w:t xml:space="preserve">). O risco de tempo em asa e custo das visitas de oficina é transferido da companhia aérea para a Rolls-Royce. Há variantes (TotalCare Life, Term, Flex — esta última com opção de a Rolls-Royce assumir a propriedade do motor), mas o princípio é o mesmo: a fabricante só é remunerada pelas horas em que o motor voa bem, alinhando o incentivo comercial à confiabilidade.</w:t>
      </w:r>
    </w:p>
    <w:p>
      <w:pPr>
        <w:pStyle w:val="Heading2"/>
        <w:spacing w:after="100" w:before="260"/>
      </w:pPr>
      <w:r>
        <w:rPr>
          <w:b/>
          <w:bCs/>
          <w:color w:val="4B238D"/>
          <w:sz w:val="22"/>
          <w:szCs w:val="22"/>
        </w:rPr>
        <w:t xml:space="preserve">Ganho da empresa</w:t>
      </w:r>
    </w:p>
    <w:p>
      <w:pPr>
        <w:spacing w:after="160" w:line="300"/>
      </w:pPr>
      <w:r>
        <w:rPr>
          <w:color w:val="222222"/>
          <w:sz w:val="21"/>
          <w:szCs w:val="21"/>
        </w:rPr>
        <w:t xml:space="preserve">Cerca de </w:t>
      </w:r>
      <w:r>
        <w:rPr>
          <w:b/>
          <w:bCs/>
          <w:color w:val="2A005D"/>
          <w:sz w:val="21"/>
          <w:szCs w:val="21"/>
        </w:rPr>
        <w:t xml:space="preserve">90% dos motores Trent</w:t>
      </w:r>
      <w:r>
        <w:rPr>
          <w:color w:val="222222"/>
          <w:sz w:val="21"/>
          <w:szCs w:val="21"/>
        </w:rPr>
        <w:t xml:space="preserve"> estão em contratos TotalCare. Em Civil Aerospace, no ano fiscal de 2024 a receita subjacente foi de </w:t>
      </w:r>
      <w:r>
        <w:rPr>
          <w:b/>
          <w:bCs/>
          <w:color w:val="2A005D"/>
          <w:sz w:val="21"/>
          <w:szCs w:val="21"/>
        </w:rPr>
        <w:t xml:space="preserve">£9.040 milhões</w:t>
      </w:r>
      <w:r>
        <w:rPr>
          <w:color w:val="222222"/>
          <w:sz w:val="21"/>
          <w:szCs w:val="21"/>
        </w:rPr>
        <w:t xml:space="preserve">, com split de </w:t>
      </w:r>
      <w:r>
        <w:rPr>
          <w:b/>
          <w:bCs/>
          <w:color w:val="2A005D"/>
          <w:sz w:val="21"/>
          <w:szCs w:val="21"/>
        </w:rPr>
        <w:t xml:space="preserve">34% equipamento original (OE) / 66% Serviços</w:t>
      </w:r>
      <w:r>
        <w:rPr>
          <w:color w:val="222222"/>
          <w:sz w:val="21"/>
          <w:szCs w:val="21"/>
        </w:rPr>
        <w:t xml:space="preserve"> — dois terços da receita hoje vêm do pós-venda contratado (</w:t>
      </w:r>
      <w:hyperlink w:history="1" r:id="rIdftoanwo3ttoj9cwi9wehv">
        <w:r>
          <w:rPr>
            <w:rStyle w:val="Hyperlink"/>
            <w:color w:val="1155CC"/>
            <w:sz w:val="19"/>
            <w:szCs w:val="19"/>
            <w:u w:val="single"/>
          </w:rPr>
          <w:t xml:space="preserve">Rolls-Royce 2024 Results</w:t>
        </w:r>
      </w:hyperlink>
      <w:r>
        <w:rPr>
          <w:color w:val="222222"/>
          <w:sz w:val="21"/>
          <w:szCs w:val="21"/>
        </w:rPr>
        <w:t xml:space="preserve">). Em 2023 a receita de serviços já havia crescido 25% para £4,6 bi. A recuperação sob o CEO Tufan Erginbilgiç foi expressiva: lucro operacional subjacente saltou de </w:t>
      </w:r>
      <w:r>
        <w:rPr>
          <w:b/>
          <w:bCs/>
          <w:color w:val="2A005D"/>
          <w:sz w:val="21"/>
          <w:szCs w:val="21"/>
        </w:rPr>
        <w:t xml:space="preserve">£143 milhões (margem 2,5%) em 2022 para £850 milhões (margem 11,6%) em 2023</w:t>
      </w:r>
      <w:r>
        <w:rPr>
          <w:color w:val="222222"/>
          <w:sz w:val="21"/>
          <w:szCs w:val="21"/>
        </w:rPr>
        <w:t xml:space="preserve">. O TotalCare também está ligado a uma extensão de </w:t>
      </w:r>
      <w:r>
        <w:rPr>
          <w:b/>
          <w:bCs/>
          <w:color w:val="2A005D"/>
          <w:sz w:val="21"/>
          <w:szCs w:val="21"/>
        </w:rPr>
        <w:t xml:space="preserve">~25% no intervalo entre revisões</w:t>
      </w:r>
      <w:r>
        <w:rPr>
          <w:color w:val="222222"/>
          <w:sz w:val="21"/>
          <w:szCs w:val="21"/>
        </w:rPr>
        <w:t xml:space="preserve"> dos motores cobertos, e a Rolls-Royce comunica meta de melhoria média superior a 80% em "time on wing" nos motores Trent modernos até 2027, usando o programa de dados "Blue Data Thread" (</w:t>
      </w:r>
      <w:hyperlink w:history="1" r:id="rIdcelgalqtszeimlfgojgpw">
        <w:r>
          <w:rPr>
            <w:rStyle w:val="Hyperlink"/>
            <w:color w:val="1155CC"/>
            <w:sz w:val="19"/>
            <w:szCs w:val="19"/>
            <w:u w:val="single"/>
          </w:rPr>
          <w:t xml:space="preserve">Rolls-Royce Time on Wing</w:t>
        </w:r>
      </w:hyperlink>
      <w:r>
        <w:rPr>
          <w:color w:val="222222"/>
          <w:sz w:val="21"/>
          <w:szCs w:val="21"/>
        </w:rPr>
        <w:t xml:space="preserve">).</w:t>
      </w:r>
    </w:p>
    <w:p>
      <w:pPr>
        <w:pStyle w:val="Heading2"/>
        <w:spacing w:after="100" w:before="260"/>
      </w:pPr>
      <w:r>
        <w:rPr>
          <w:b/>
          <w:bCs/>
          <w:color w:val="4B238D"/>
          <w:sz w:val="22"/>
          <w:szCs w:val="22"/>
        </w:rPr>
        <w:t xml:space="preserve">Ganho do cliente</w:t>
      </w:r>
    </w:p>
    <w:p>
      <w:pPr>
        <w:spacing w:after="160" w:line="300"/>
      </w:pPr>
      <w:r>
        <w:rPr>
          <w:color w:val="222222"/>
          <w:sz w:val="21"/>
          <w:szCs w:val="21"/>
        </w:rPr>
        <w:t xml:space="preserve">A companhia aérea troca custo de manutenção volátil (picos em anos de overhaul) por custo fixo e previsível por hora voada — facilita orçamento e planejamento plurianual. O risco técnico/obsolescência passa a ser da Rolls-Royce, que garante disponibilidade (inclusive com motores reserva para visitas não programadas). </w:t>
      </w:r>
      <w:r>
        <w:rPr>
          <w:b/>
          <w:bCs/>
          <w:color w:val="2A005D"/>
          <w:sz w:val="21"/>
          <w:szCs w:val="21"/>
        </w:rPr>
        <w:t xml:space="preserve">Não foi encontrada</w:t>
      </w:r>
      <w:r>
        <w:rPr>
          <w:color w:val="222222"/>
          <w:sz w:val="21"/>
          <w:szCs w:val="21"/>
        </w:rPr>
        <w:t xml:space="preserve"> citação direta de executivo de companhia aérea elogiando o modelo nesta pesquisa, mas há evidência indireta forte: renovações e expansões de contrato ao longo do tempo (ex.: Tunisair estendeu TotalCare para motores Trent 700; DHL Express assinou novo TotalCare para motores de A330) — clientes que renovam voluntariamente é sinal de satisfação real.</w:t>
      </w:r>
    </w:p>
    <w:p>
      <w:pPr>
        <w:pStyle w:val="Heading2"/>
        <w:spacing w:after="100" w:before="260"/>
      </w:pPr>
      <w:r>
        <w:rPr>
          <w:b/>
          <w:bCs/>
          <w:color w:val="4B238D"/>
          <w:sz w:val="22"/>
          <w:szCs w:val="22"/>
        </w:rPr>
        <w:t xml:space="preserve">O que o cliente "leva"</w:t>
      </w:r>
    </w:p>
    <w:p>
      <w:pPr>
        <w:spacing w:after="160" w:line="300"/>
      </w:pPr>
      <w:r>
        <w:rPr>
          <w:color w:val="222222"/>
          <w:sz w:val="21"/>
          <w:szCs w:val="21"/>
        </w:rPr>
        <w:t xml:space="preserve">A companhia aérea nunca assume o risco financeiro da manutenção do motor: paga tarifa fixa por hora voada e recebe manutenção completa, monitoramento contínuo (EHM), acesso a motores sobressalentes/logística de peças em pane não programada, suporte técnico global/AOG e previsibilidade orçamentária. No modelo antigo, ela comprava o motor e negociava/pagava cada revisão e peça separadamente, arcando com o risco de custo.</w:t>
      </w:r>
    </w:p>
    <w:p>
      <w:pPr>
        <w:pStyle w:val="Heading2"/>
        <w:spacing w:after="100" w:before="260"/>
      </w:pPr>
      <w:r>
        <w:rPr>
          <w:b/>
          <w:bCs/>
          <w:color w:val="4B238D"/>
          <w:sz w:val="22"/>
          <w:szCs w:val="22"/>
        </w:rPr>
        <w:t xml:space="preserve">Vantagens e desvantagens — incluindo o aviso mais importante do case</w:t>
      </w:r>
    </w:p>
    <w:p>
      <w:pPr>
        <w:spacing w:after="160" w:line="300"/>
      </w:pPr>
      <w:r>
        <w:rPr>
          <w:b/>
          <w:bCs/>
          <w:color w:val="2A005D"/>
          <w:sz w:val="21"/>
          <w:szCs w:val="21"/>
        </w:rPr>
        <w:t xml:space="preserve">Rolls-Royce — a favor:</w:t>
      </w:r>
      <w:r>
        <w:rPr>
          <w:color w:val="222222"/>
          <w:sz w:val="21"/>
          <w:szCs w:val="21"/>
        </w:rPr>
        <w:t xml:space="preserve"> receita recorrente, alinhamento com confiabilidade, acesso a enorme volume de dados operacionais (EHM) que retroalimenta engenharia futura. </w:t>
      </w:r>
      <w:r>
        <w:rPr>
          <w:b/>
          <w:bCs/>
          <w:color w:val="2A005D"/>
          <w:sz w:val="21"/>
          <w:szCs w:val="21"/>
        </w:rPr>
        <w:t xml:space="preserve">Rolls-Royce — o risco real:</w:t>
      </w:r>
      <w:r>
        <w:rPr>
          <w:color w:val="222222"/>
          <w:sz w:val="21"/>
          <w:szCs w:val="21"/>
        </w:rPr>
        <w:t xml:space="preserve"> se a engenharia falhar, é o fabricante — não o cliente — quem paga a conta. Isso ficou evidente na </w:t>
      </w:r>
      <w:r>
        <w:rPr>
          <w:b/>
          <w:bCs/>
          <w:color w:val="2A005D"/>
          <w:sz w:val="21"/>
          <w:szCs w:val="21"/>
        </w:rPr>
        <w:t xml:space="preserve">crise de durabilidade do motor Trent 1000</w:t>
      </w:r>
      <w:r>
        <w:rPr>
          <w:color w:val="222222"/>
          <w:sz w:val="21"/>
          <w:szCs w:val="21"/>
        </w:rPr>
        <w:t xml:space="preserve"> (Boeing 787), identificada por volta de 2016-2018: pás da turbina sofreram degradação prematura, forçando inspeções não programadas e aterramento de aeronaves — Air New Zealand chegou a ter </w:t>
      </w:r>
      <w:r>
        <w:rPr>
          <w:b/>
          <w:bCs/>
          <w:color w:val="2A005D"/>
          <w:sz w:val="21"/>
          <w:szCs w:val="21"/>
        </w:rPr>
        <w:t xml:space="preserve">5 de 14 Dreamliners parados simultaneamente</w:t>
      </w:r>
      <w:r>
        <w:rPr>
          <w:color w:val="222222"/>
          <w:sz w:val="21"/>
          <w:szCs w:val="21"/>
        </w:rPr>
        <w:t xml:space="preserve">, precisando arrendar uma aeronave substituta; a Norwegian Air reportou </w:t>
      </w:r>
      <w:r>
        <w:rPr>
          <w:b/>
          <w:bCs/>
          <w:color w:val="2A005D"/>
          <w:sz w:val="21"/>
          <w:szCs w:val="21"/>
        </w:rPr>
        <w:t xml:space="preserve">US$120 milhões</w:t>
      </w:r>
      <w:r>
        <w:rPr>
          <w:color w:val="222222"/>
          <w:sz w:val="21"/>
          <w:szCs w:val="21"/>
        </w:rPr>
        <w:t xml:space="preserve"> só em compensações a passageiros e processou a Rolls-Royce (</w:t>
      </w:r>
      <w:hyperlink w:history="1" r:id="rIdw9ko65segvgfnxcj9olgt">
        <w:r>
          <w:rPr>
            <w:rStyle w:val="Hyperlink"/>
            <w:color w:val="1155CC"/>
            <w:sz w:val="19"/>
            <w:szCs w:val="19"/>
            <w:u w:val="single"/>
          </w:rPr>
          <w:t xml:space="preserve">Simple Flying</w:t>
        </w:r>
      </w:hyperlink>
      <w:r>
        <w:rPr>
          <w:color w:val="222222"/>
          <w:sz w:val="21"/>
          <w:szCs w:val="21"/>
        </w:rPr>
        <w:t xml:space="preserve">; </w:t>
      </w:r>
      <w:hyperlink w:history="1" r:id="rId0froasajrlakqr6fecrmf">
        <w:r>
          <w:rPr>
            <w:rStyle w:val="Hyperlink"/>
            <w:color w:val="1155CC"/>
            <w:sz w:val="19"/>
            <w:szCs w:val="19"/>
            <w:u w:val="single"/>
          </w:rPr>
          <w:t xml:space="preserve">AIN Online</w:t>
        </w:r>
      </w:hyperlink>
      <w:r>
        <w:rPr>
          <w:color w:val="222222"/>
          <w:sz w:val="21"/>
          <w:szCs w:val="21"/>
        </w:rPr>
        <w:t xml:space="preserve">). Financeiramente, a Rolls-Royce projetou custos totais de </w:t>
      </w:r>
      <w:r>
        <w:rPr>
          <w:b/>
          <w:bCs/>
          <w:color w:val="2A005D"/>
          <w:sz w:val="21"/>
          <w:szCs w:val="21"/>
        </w:rPr>
        <w:t xml:space="preserve">~US$3,1 bilhões</w:t>
      </w:r>
      <w:r>
        <w:rPr>
          <w:color w:val="222222"/>
          <w:sz w:val="21"/>
          <w:szCs w:val="21"/>
        </w:rPr>
        <w:t xml:space="preserve"> entre 2017-2023 para o problema; tomou carga excepcional de </w:t>
      </w:r>
      <w:r>
        <w:rPr>
          <w:b/>
          <w:bCs/>
          <w:color w:val="2A005D"/>
          <w:sz w:val="21"/>
          <w:szCs w:val="21"/>
        </w:rPr>
        <w:t xml:space="preserve">£1,4 bilhão</w:t>
      </w:r>
      <w:r>
        <w:rPr>
          <w:color w:val="222222"/>
          <w:sz w:val="21"/>
          <w:szCs w:val="21"/>
        </w:rPr>
        <w:t xml:space="preserve"> só na variante TEN; estimativas somam </w:t>
      </w:r>
      <w:r>
        <w:rPr>
          <w:b/>
          <w:bCs/>
          <w:color w:val="2A005D"/>
          <w:sz w:val="21"/>
          <w:szCs w:val="21"/>
        </w:rPr>
        <w:t xml:space="preserve">~£2,4 bilhões</w:t>
      </w:r>
      <w:r>
        <w:rPr>
          <w:color w:val="222222"/>
          <w:sz w:val="21"/>
          <w:szCs w:val="21"/>
        </w:rPr>
        <w:t xml:space="preserve"> em custo total de caixa do programa (</w:t>
      </w:r>
      <w:hyperlink w:history="1" r:id="rIdi-4-f9juzwgmuicwqivgp">
        <w:r>
          <w:rPr>
            <w:rStyle w:val="Hyperlink"/>
            <w:color w:val="1155CC"/>
            <w:sz w:val="19"/>
            <w:szCs w:val="19"/>
            <w:u w:val="single"/>
          </w:rPr>
          <w:t xml:space="preserve">Proactive Investors</w:t>
        </w:r>
      </w:hyperlink>
      <w:r>
        <w:rPr>
          <w:color w:val="222222"/>
          <w:sz w:val="21"/>
          <w:szCs w:val="21"/>
        </w:rPr>
        <w:t xml:space="preserve">). A resposta foi um novo padrão de fabricação (Trent 1000 XE) com peças redesenhadas, incluído no TotalCare </w:t>
      </w:r>
      <w:r>
        <w:rPr>
          <w:b/>
          <w:bCs/>
          <w:color w:val="2A005D"/>
          <w:sz w:val="21"/>
          <w:szCs w:val="21"/>
        </w:rPr>
        <w:t xml:space="preserve">sem custo adicional para os operadores</w:t>
      </w:r>
      <w:r>
        <w:rPr>
          <w:color w:val="222222"/>
          <w:sz w:val="21"/>
          <w:szCs w:val="21"/>
        </w:rPr>
        <w:t xml:space="preserve">. Este episódio é hoje citado como o exemplo clássico do lado sombrio de contratos baseados em resultado: quando a confiabilidade projetada não se concretiza, quem detém contratualmente o risco técnico absorve o prejuízo — não o cliente. </w:t>
      </w:r>
      <w:r>
        <w:rPr>
          <w:b/>
          <w:bCs/>
          <w:color w:val="2A005D"/>
          <w:sz w:val="21"/>
          <w:szCs w:val="21"/>
        </w:rPr>
        <w:t xml:space="preserve">Companhia aérea — contra:</w:t>
      </w:r>
      <w:r>
        <w:rPr>
          <w:color w:val="222222"/>
          <w:sz w:val="21"/>
          <w:szCs w:val="21"/>
        </w:rPr>
        <w:t xml:space="preserve"> perda de controle sobre onde/como a manutenção é feita (lock-in com a rede de oficinas da Rolls-Royce) e dependência de longo prazo de um único fornecedor por décadas.</w:t>
      </w:r>
    </w:p>
    <w:p>
      <w:pPr>
        <w:pStyle w:val="Heading2"/>
        <w:spacing w:after="100" w:before="260"/>
      </w:pPr>
      <w:r>
        <w:rPr>
          <w:b/>
          <w:bCs/>
          <w:color w:val="4B238D"/>
          <w:sz w:val="22"/>
          <w:szCs w:val="22"/>
        </w:rPr>
        <w:t xml:space="preserve">Mecânica financeira</w:t>
      </w:r>
    </w:p>
    <w:p>
      <w:pPr>
        <w:spacing w:after="160" w:line="300"/>
      </w:pPr>
      <w:r>
        <w:rPr>
          <w:color w:val="222222"/>
          <w:sz w:val="21"/>
          <w:szCs w:val="21"/>
        </w:rPr>
        <w:t xml:space="preserve">Sob IFRS 15, a Rolls-Royce reconhece receita/lucro dos contratos LTSA à medida que os custos são incorridos — a maior parte é reconhecida no ano das visitas de oficina, não conforme o caixa é recebido mês a mês pela tarifa por hora; a adoção do IFRS 15 teria efeito de </w:t>
      </w:r>
      <w:r>
        <w:rPr>
          <w:b/>
          <w:bCs/>
          <w:color w:val="2A005D"/>
          <w:sz w:val="21"/>
          <w:szCs w:val="21"/>
        </w:rPr>
        <w:t xml:space="preserve">~£900 milhões</w:t>
      </w:r>
      <w:r>
        <w:rPr>
          <w:color w:val="222222"/>
          <w:sz w:val="21"/>
          <w:szCs w:val="21"/>
        </w:rPr>
        <w:t xml:space="preserve"> nas contas (</w:t>
      </w:r>
      <w:hyperlink w:history="1" r:id="rIdtkp9nbrpofc5o7ppjizod">
        <w:r>
          <w:rPr>
            <w:rStyle w:val="Hyperlink"/>
            <w:color w:val="1155CC"/>
            <w:sz w:val="19"/>
            <w:szCs w:val="19"/>
            <w:u w:val="single"/>
          </w:rPr>
          <w:t xml:space="preserve">Accountancy Daily</w:t>
        </w:r>
      </w:hyperlink>
      <w:r>
        <w:rPr>
          <w:color w:val="222222"/>
          <w:sz w:val="21"/>
          <w:szCs w:val="21"/>
        </w:rPr>
        <w:t xml:space="preserve">). A diferença entre caixa recebido e receita contábil fica registrada como "passivo líquido de LTSA"; quando premissas de custo mudam, há ajustes de "catch-up" retificando lucro já reconhecido, e contratos que ficam deficitários exigem provisão integral — mecanismo evidente durante a crise do Trent 1000, quando contratos da variante TEN foram provisionados como "loss-making" (</w:t>
      </w:r>
      <w:hyperlink w:history="1" r:id="rIdazx2gqlddmp3zsyfdmapf">
        <w:r>
          <w:rPr>
            <w:rStyle w:val="Hyperlink"/>
            <w:color w:val="1155CC"/>
            <w:sz w:val="19"/>
            <w:szCs w:val="19"/>
            <w:u w:val="single"/>
          </w:rPr>
          <w:t xml:space="preserve">Flight Global</w:t>
        </w:r>
      </w:hyperlink>
      <w:r>
        <w:rPr>
          <w:color w:val="222222"/>
          <w:sz w:val="21"/>
          <w:szCs w:val="21"/>
        </w:rPr>
        <w:t xml:space="preserve">). O preço por hora voada é calibrado de forma </w:t>
      </w:r>
      <w:r>
        <w:rPr>
          <w:b/>
          <w:bCs/>
          <w:color w:val="2A005D"/>
          <w:sz w:val="21"/>
          <w:szCs w:val="21"/>
        </w:rPr>
        <w:t xml:space="preserve">atuarial</w:t>
      </w:r>
      <w:r>
        <w:rPr>
          <w:color w:val="222222"/>
          <w:sz w:val="21"/>
          <w:szCs w:val="21"/>
        </w:rPr>
        <w:t xml:space="preserve">: a Rolls-Royce precifica risco com base em dados de confiabilidade agregados de toda a frota (não do motor individual) — só é economicamente viável em escala, com centenas/milhares de motores gerando dados EHM continuamente. Sem essa base estatística de milhões de horas monitoradas, a precificação por hora vira aposta, não seguro atuarial — que é, em parte, o que deu errado no Trent 1000, cuja taxa real de degradação superou o previsto pelos modelos.</w:t>
      </w:r>
    </w:p>
    <w:p>
      <w:pPr>
        <w:pStyle w:val="Heading2"/>
        <w:spacing w:after="100" w:before="260"/>
      </w:pPr>
      <w:r>
        <w:rPr>
          <w:b/>
          <w:bCs/>
          <w:color w:val="4B238D"/>
          <w:sz w:val="22"/>
          <w:szCs w:val="22"/>
        </w:rPr>
        <w:t xml:space="preserve">Como é vendido</w:t>
      </w:r>
    </w:p>
    <w:p>
      <w:pPr>
        <w:spacing w:after="160" w:line="300"/>
      </w:pPr>
      <w:r>
        <w:rPr>
          <w:color w:val="222222"/>
          <w:sz w:val="21"/>
          <w:szCs w:val="21"/>
        </w:rPr>
        <w:t xml:space="preserve">Em 2014, a Rolls-Royce fundiu sua unidade de Aero Engine Controls com a Optimized Systems and Solutions para formar a </w:t>
      </w:r>
      <w:r>
        <w:rPr>
          <w:b/>
          <w:bCs/>
          <w:color w:val="2A005D"/>
          <w:sz w:val="21"/>
          <w:szCs w:val="21"/>
        </w:rPr>
        <w:t xml:space="preserve">Controls and Data Services (CDS)</w:t>
      </w:r>
      <w:r>
        <w:rPr>
          <w:color w:val="222222"/>
          <w:sz w:val="21"/>
          <w:szCs w:val="21"/>
        </w:rPr>
        <w:t xml:space="preserve">, unidade dedicada a sensores, controles, monitoramento e gestão de saúde de motores. Parceria com a Microsoft para levar dados de motores (com consentimento das companhias aéreas) a um data lake em Azure, e o programa "Blue Data Thread" conectando dados de saúde/manutenção a insights analíticos. A venda de TotalCare não é tratada como complemento comercial simples do motor, mas como negócio de dados e engenharia de confiabilidade com estrutura própria. </w:t>
      </w:r>
      <w:r>
        <w:rPr>
          <w:b/>
          <w:bCs/>
          <w:color w:val="2A005D"/>
          <w:sz w:val="21"/>
          <w:szCs w:val="21"/>
        </w:rPr>
        <w:t xml:space="preserve">Lacuna sinalizada:</w:t>
      </w:r>
      <w:r>
        <w:rPr>
          <w:color w:val="222222"/>
          <w:sz w:val="21"/>
          <w:szCs w:val="21"/>
        </w:rPr>
        <w:t xml:space="preserve"> não foi encontrada documentação granular sobre um "time comercial de serviços" formalmente separado do time de vendas de motores novos.</w:t>
      </w:r>
    </w:p>
    <w:p>
      <w:pPr>
        <w:spacing w:after="160" w:line="300"/>
      </w:pPr>
      <w:r>
        <w:rPr>
          <w:b/>
          <w:bCs/>
          <w:color w:val="2A005D"/>
          <w:sz w:val="21"/>
          <w:szCs w:val="21"/>
        </w:rPr>
        <w:t xml:space="preserve">Fontes:</w:t>
      </w:r>
      <w:r>
        <w:rPr>
          <w:color w:val="222222"/>
          <w:sz w:val="21"/>
          <w:szCs w:val="21"/>
        </w:rPr>
        <w:t xml:space="preserve"> </w:t>
      </w:r>
      <w:hyperlink w:history="1" r:id="rIdfreouajl-cam6dkdkg68m">
        <w:r>
          <w:rPr>
            <w:rStyle w:val="Hyperlink"/>
            <w:color w:val="1155CC"/>
            <w:sz w:val="19"/>
            <w:szCs w:val="19"/>
            <w:u w:val="single"/>
          </w:rPr>
          <w:t xml:space="preserve">Rolls-Royce TotalCare</w:t>
        </w:r>
      </w:hyperlink>
      <w:r>
        <w:rPr>
          <w:color w:val="222222"/>
          <w:sz w:val="21"/>
          <w:szCs w:val="21"/>
        </w:rPr>
        <w:t xml:space="preserve"> · </w:t>
      </w:r>
      <w:hyperlink w:history="1" r:id="rIdld8lebv1y1qn7quj1vqsl">
        <w:r>
          <w:rPr>
            <w:rStyle w:val="Hyperlink"/>
            <w:color w:val="1155CC"/>
            <w:sz w:val="19"/>
            <w:szCs w:val="19"/>
            <w:u w:val="single"/>
          </w:rPr>
          <w:t xml:space="preserve">Royal Aeronautical Society</w:t>
        </w:r>
      </w:hyperlink>
      <w:r>
        <w:rPr>
          <w:color w:val="222222"/>
          <w:sz w:val="21"/>
          <w:szCs w:val="21"/>
        </w:rPr>
        <w:t xml:space="preserve"> · </w:t>
      </w:r>
      <w:hyperlink w:history="1" r:id="rIdymz8vkk2fqg5l9c-g6oog">
        <w:r>
          <w:rPr>
            <w:rStyle w:val="Hyperlink"/>
            <w:color w:val="1155CC"/>
            <w:sz w:val="19"/>
            <w:szCs w:val="19"/>
            <w:u w:val="single"/>
          </w:rPr>
          <w:t xml:space="preserve">Flight Global — evolução MRO</w:t>
        </w:r>
      </w:hyperlink>
      <w:r>
        <w:rPr>
          <w:color w:val="222222"/>
          <w:sz w:val="21"/>
          <w:szCs w:val="21"/>
        </w:rPr>
        <w:t xml:space="preserve"> · </w:t>
      </w:r>
      <w:hyperlink w:history="1" r:id="rIdcxh0trnmcob9joyvial6x">
        <w:r>
          <w:rPr>
            <w:rStyle w:val="Hyperlink"/>
            <w:color w:val="1155CC"/>
            <w:sz w:val="19"/>
            <w:szCs w:val="19"/>
            <w:u w:val="single"/>
          </w:rPr>
          <w:t xml:space="preserve">Simple Flying</w:t>
        </w:r>
      </w:hyperlink>
      <w:r>
        <w:rPr>
          <w:color w:val="222222"/>
          <w:sz w:val="21"/>
          <w:szCs w:val="21"/>
        </w:rPr>
        <w:t xml:space="preserve"> · </w:t>
      </w:r>
      <w:hyperlink w:history="1" r:id="rIdseuktscy-w2l3ybcfh245">
        <w:r>
          <w:rPr>
            <w:rStyle w:val="Hyperlink"/>
            <w:color w:val="1155CC"/>
            <w:sz w:val="19"/>
            <w:szCs w:val="19"/>
            <w:u w:val="single"/>
          </w:rPr>
          <w:t xml:space="preserve">Rolls-Royce 2024 Results</w:t>
        </w:r>
      </w:hyperlink>
      <w:r>
        <w:rPr>
          <w:color w:val="222222"/>
          <w:sz w:val="21"/>
          <w:szCs w:val="21"/>
        </w:rPr>
        <w:t xml:space="preserve"> · </w:t>
      </w:r>
      <w:hyperlink w:history="1" r:id="rIdasjybeveogx57bfyvj-oa">
        <w:r>
          <w:rPr>
            <w:rStyle w:val="Hyperlink"/>
            <w:color w:val="1155CC"/>
            <w:sz w:val="19"/>
            <w:szCs w:val="19"/>
            <w:u w:val="single"/>
          </w:rPr>
          <w:t xml:space="preserve">Proactive Investors — Trent 1000</w:t>
        </w:r>
      </w:hyperlink>
      <w:r>
        <w:rPr>
          <w:color w:val="222222"/>
          <w:sz w:val="21"/>
          <w:szCs w:val="21"/>
        </w:rPr>
        <w:t xml:space="preserve"> · </w:t>
      </w:r>
      <w:hyperlink w:history="1" r:id="rIdml3e_pdhy2xdpeuo5-vln">
        <w:r>
          <w:rPr>
            <w:rStyle w:val="Hyperlink"/>
            <w:color w:val="1155CC"/>
            <w:sz w:val="19"/>
            <w:szCs w:val="19"/>
            <w:u w:val="single"/>
          </w:rPr>
          <w:t xml:space="preserve">Accountancy Daily — IFRS15</w:t>
        </w:r>
      </w:hyperlink>
      <w:r>
        <w:rPr>
          <w:color w:val="222222"/>
          <w:sz w:val="21"/>
          <w:szCs w:val="21"/>
        </w:rPr>
        <w:t xml:space="preserve"> · </w:t>
      </w:r>
      <w:hyperlink w:history="1" r:id="rIdpdfejnsjmsl80xjzs6t7n">
        <w:r>
          <w:rPr>
            <w:rStyle w:val="Hyperlink"/>
            <w:color w:val="1155CC"/>
            <w:sz w:val="19"/>
            <w:szCs w:val="19"/>
            <w:u w:val="single"/>
          </w:rPr>
          <w:t xml:space="preserve">Morgan Lewis — guia RPFH</w:t>
        </w:r>
      </w:hyperlink>
      <w:r>
        <w:rPr>
          <w:color w:val="222222"/>
          <w:sz w:val="21"/>
          <w:szCs w:val="21"/>
        </w:rPr>
        <w:t xml:space="preserve"> · </w:t>
      </w:r>
      <w:hyperlink w:history="1" r:id="rId9frgvktqtgeq_qu9fubwy">
        <w:r>
          <w:rPr>
            <w:rStyle w:val="Hyperlink"/>
            <w:color w:val="1155CC"/>
            <w:sz w:val="19"/>
            <w:szCs w:val="19"/>
            <w:u w:val="single"/>
          </w:rPr>
          <w:t xml:space="preserve">Microsoft Customer Story</w:t>
        </w:r>
      </w:hyperlink>
    </w:p>
    <w:p>
      <w:r>
        <w:br w:type="page"/>
      </w:r>
    </w:p>
    <w:p>
      <w:pPr>
        <w:pStyle w:val="Heading1"/>
        <w:pBdr>
          <w:bottom w:val="single" w:color="4B238D" w:sz="6" w:space="4"/>
        </w:pBdr>
        <w:spacing w:after="160" w:before="380"/>
      </w:pPr>
      <w:r>
        <w:rPr>
          <w:b/>
          <w:bCs/>
          <w:color w:val="2A005D"/>
          <w:sz w:val="28"/>
          <w:szCs w:val="28"/>
        </w:rPr>
        <w:t xml:space="preserve">5. Michelin — Fleet Solutions / Effifuel (pneu como serviço)</w:t>
      </w:r>
    </w:p>
    <w:p>
      <w:pPr>
        <w:pStyle w:val="Heading2"/>
        <w:spacing w:after="100" w:before="260"/>
      </w:pPr>
      <w:r>
        <w:rPr>
          <w:b/>
          <w:bCs/>
          <w:color w:val="4B238D"/>
          <w:sz w:val="22"/>
          <w:szCs w:val="22"/>
        </w:rPr>
        <w:t xml:space="preserve">Antes (o modelo antigo)</w:t>
      </w:r>
    </w:p>
    <w:p>
      <w:pPr>
        <w:spacing w:after="160" w:line="300"/>
      </w:pPr>
      <w:r>
        <w:rPr>
          <w:color w:val="222222"/>
          <w:sz w:val="21"/>
          <w:szCs w:val="21"/>
        </w:rPr>
        <w:t xml:space="preserve">Até o fim dos anos 1990, a Michelin vendia pneus para frotas como produto físico: o cliente pagava à vista/financiado e assumia integralmente propriedade e risco do ativo. A empresa enfrentava concorrência crescente de fabricantes asiáticos de baixo custo, comoditizando o produto mesmo com tecnologia superior (</w:t>
      </w:r>
      <w:hyperlink w:history="1" r:id="rId9j-d6y1-ziibyts-6dezb">
        <w:r>
          <w:rPr>
            <w:rStyle w:val="Hyperlink"/>
            <w:color w:val="1155CC"/>
            <w:sz w:val="19"/>
            <w:szCs w:val="19"/>
            <w:u w:val="single"/>
          </w:rPr>
          <w:t xml:space="preserve">IMD</w:t>
        </w:r>
      </w:hyperlink>
      <w:r>
        <w:rPr>
          <w:color w:val="222222"/>
          <w:sz w:val="21"/>
          <w:szCs w:val="21"/>
        </w:rPr>
        <w:t xml:space="preserve">). "O cliente arcava com o custo inicial do pneu e todo o risco associado à sua substituição em caso de dano" (</w:t>
      </w:r>
      <w:hyperlink w:history="1" r:id="rIdrymf8kvoat37klk7pxynv">
        <w:r>
          <w:rPr>
            <w:rStyle w:val="Hyperlink"/>
            <w:color w:val="1155CC"/>
            <w:sz w:val="19"/>
            <w:szCs w:val="19"/>
            <w:u w:val="single"/>
          </w:rPr>
          <w:t xml:space="preserve">Harvard D3</w:t>
        </w:r>
      </w:hyperlink>
      <w:r>
        <w:rPr>
          <w:color w:val="222222"/>
          <w:sz w:val="21"/>
          <w:szCs w:val="21"/>
        </w:rPr>
        <w:t xml:space="preserve">). Desalinhamento estrutural: a receita da Michelin dependia do volume vendido — quanto mais rápido um pneu se desgastava, mais a empresa vendia — enquanto toda a complexidade operacional (calibragem, rotação, estoque, recapagem, múltiplos fornecedores) ficava com o operador da frota.</w:t>
      </w:r>
    </w:p>
    <w:p>
      <w:pPr>
        <w:pStyle w:val="Heading2"/>
        <w:spacing w:after="100" w:before="260"/>
      </w:pPr>
      <w:r>
        <w:rPr>
          <w:b/>
          <w:bCs/>
          <w:color w:val="4B238D"/>
          <w:sz w:val="22"/>
          <w:szCs w:val="22"/>
        </w:rPr>
        <w:t xml:space="preserve">Depois (o modelo novo)</w:t>
      </w:r>
    </w:p>
    <w:p>
      <w:pPr>
        <w:spacing w:after="160" w:line="300"/>
      </w:pPr>
      <w:r>
        <w:rPr>
          <w:color w:val="222222"/>
          <w:sz w:val="21"/>
          <w:szCs w:val="21"/>
        </w:rPr>
        <w:t xml:space="preserve">Em </w:t>
      </w:r>
      <w:r>
        <w:rPr>
          <w:b/>
          <w:bCs/>
          <w:color w:val="2A005D"/>
          <w:sz w:val="21"/>
          <w:szCs w:val="21"/>
        </w:rPr>
        <w:t xml:space="preserve">2000</w:t>
      </w:r>
      <w:r>
        <w:rPr>
          <w:color w:val="222222"/>
          <w:sz w:val="21"/>
          <w:szCs w:val="21"/>
        </w:rPr>
        <w:t xml:space="preserve">, a Michelin lançou o </w:t>
      </w:r>
      <w:r>
        <w:rPr>
          <w:b/>
          <w:bCs/>
          <w:color w:val="2A005D"/>
          <w:sz w:val="21"/>
          <w:szCs w:val="21"/>
        </w:rPr>
        <w:t xml:space="preserve">Michelin Fleet Solutions (MFS)</w:t>
      </w:r>
      <w:r>
        <w:rPr>
          <w:color w:val="222222"/>
          <w:sz w:val="21"/>
          <w:szCs w:val="21"/>
        </w:rPr>
        <w:t xml:space="preserve">, migrando de "vender pneus" para "vender quilômetros" (</w:t>
      </w:r>
      <w:hyperlink w:history="1" r:id="rIdfvlbqt-takbcmzumsgwtj">
        <w:r>
          <w:rPr>
            <w:rStyle w:val="Hyperlink"/>
            <w:color w:val="1155CC"/>
            <w:sz w:val="19"/>
            <w:szCs w:val="19"/>
            <w:u w:val="single"/>
          </w:rPr>
          <w:t xml:space="preserve">IMD</w:t>
        </w:r>
      </w:hyperlink>
      <w:r>
        <w:rPr>
          <w:color w:val="222222"/>
          <w:sz w:val="21"/>
          <w:szCs w:val="21"/>
        </w:rPr>
        <w:t xml:space="preserve">). Contratos de 3-5 anos: </w:t>
      </w:r>
      <w:r>
        <w:rPr>
          <w:b/>
          <w:bCs/>
          <w:color w:val="2A005D"/>
          <w:sz w:val="21"/>
          <w:szCs w:val="21"/>
        </w:rPr>
        <w:t xml:space="preserve">os pneus são alugados (leasing) da Michelin, não comprados</w:t>
      </w:r>
      <w:r>
        <w:rPr>
          <w:color w:val="222222"/>
          <w:sz w:val="21"/>
          <w:szCs w:val="21"/>
        </w:rPr>
        <w:t xml:space="preserve"> — propriedade permanece com a Michelin — e o cliente paga por </w:t>
      </w:r>
      <w:r>
        <w:rPr>
          <w:b/>
          <w:bCs/>
          <w:color w:val="2A005D"/>
          <w:sz w:val="21"/>
          <w:szCs w:val="21"/>
        </w:rPr>
        <w:t xml:space="preserve">km rodado mais taxa mensal de serviço</w:t>
      </w:r>
      <w:r>
        <w:rPr>
          <w:color w:val="222222"/>
          <w:sz w:val="21"/>
          <w:szCs w:val="21"/>
        </w:rPr>
        <w:t xml:space="preserve">, em fatura única (</w:t>
      </w:r>
      <w:hyperlink w:history="1" r:id="rIdskdft_nfzh2odwkxiila6">
        <w:r>
          <w:rPr>
            <w:rStyle w:val="Hyperlink"/>
            <w:color w:val="1155CC"/>
            <w:sz w:val="19"/>
            <w:szCs w:val="19"/>
            <w:u w:val="single"/>
          </w:rPr>
          <w:t xml:space="preserve">Michelin Fleet Solutions</w:t>
        </w:r>
      </w:hyperlink>
      <w:r>
        <w:rPr>
          <w:color w:val="222222"/>
          <w:sz w:val="21"/>
          <w:szCs w:val="21"/>
        </w:rPr>
        <w:t xml:space="preserve">). Pacote inclui gestão completa de portfólio, recapagem, rodas montadas, serviço em campo; sensores monitoram pressão/temperatura em tempo real (algoritmo "Smart Leak"). Em 2013, a Michelin criou a divisão </w:t>
      </w:r>
      <w:r>
        <w:rPr>
          <w:b/>
          <w:bCs/>
          <w:color w:val="2A005D"/>
          <w:sz w:val="21"/>
          <w:szCs w:val="21"/>
        </w:rPr>
        <w:t xml:space="preserve">Michelin Solutions</w:t>
      </w:r>
      <w:r>
        <w:rPr>
          <w:color w:val="222222"/>
          <w:sz w:val="21"/>
          <w:szCs w:val="21"/>
        </w:rPr>
        <w:t xml:space="preserve"> e lançou o </w:t>
      </w:r>
      <w:r>
        <w:rPr>
          <w:b/>
          <w:bCs/>
          <w:color w:val="2A005D"/>
          <w:sz w:val="21"/>
          <w:szCs w:val="21"/>
        </w:rPr>
        <w:t xml:space="preserve">Effifuel™</w:t>
      </w:r>
      <w:r>
        <w:rPr>
          <w:color w:val="222222"/>
          <w:sz w:val="21"/>
          <w:szCs w:val="21"/>
        </w:rPr>
        <w:t xml:space="preserve">: sensores embarcados coletando dados de consumo, pressão, temperatura, velocidade e localização, analisados por "Fuel Analysts" da própria Michelin, com recomendações de eco-driving. O Effifuel tinha meta contratual de economia de combustível compartilhada: se atingida, ganho dividido; se não, a Michelin reembolsava parte pro rata — "garantia de satisfação ou dinheiro de volta" (</w:t>
      </w:r>
      <w:hyperlink w:history="1" r:id="rId-dyqphrxdgmlqxe2y1fvk">
        <w:r>
          <w:rPr>
            <w:rStyle w:val="Hyperlink"/>
            <w:color w:val="1155CC"/>
            <w:sz w:val="19"/>
            <w:szCs w:val="19"/>
            <w:u w:val="single"/>
          </w:rPr>
          <w:t xml:space="preserve">Motorindia</w:t>
        </w:r>
      </w:hyperlink>
      <w:r>
        <w:rPr>
          <w:color w:val="222222"/>
          <w:sz w:val="21"/>
          <w:szCs w:val="21"/>
        </w:rPr>
        <w:t xml:space="preserve">).</w:t>
      </w:r>
    </w:p>
    <w:p>
      <w:pPr>
        <w:pStyle w:val="Heading2"/>
        <w:spacing w:after="100" w:before="260"/>
      </w:pPr>
      <w:r>
        <w:rPr>
          <w:b/>
          <w:bCs/>
          <w:color w:val="4B238D"/>
          <w:sz w:val="22"/>
          <w:szCs w:val="22"/>
        </w:rPr>
        <w:t xml:space="preserve">Ganho da empresa</w:t>
      </w:r>
    </w:p>
    <w:p>
      <w:pPr>
        <w:spacing w:after="160" w:line="300"/>
      </w:pPr>
      <w:r>
        <w:rPr>
          <w:color w:val="222222"/>
          <w:sz w:val="21"/>
          <w:szCs w:val="21"/>
        </w:rPr>
        <w:t xml:space="preserve">Deslocar o mix de receita para ofertas com margens melhores, maior lock-in e menor exposição à competição de commodity. O modelo inverteu o incentivo perverso: como a Michelin passa a ser paga por km rodado e a arcar com o custo de reposição, ela lucra mais quando o pneu </w:t>
      </w:r>
      <w:r>
        <w:rPr>
          <w:b/>
          <w:bCs/>
          <w:color w:val="2A005D"/>
          <w:sz w:val="21"/>
          <w:szCs w:val="21"/>
        </w:rPr>
        <w:t xml:space="preserve">dura mais</w:t>
      </w:r>
      <w:r>
        <w:rPr>
          <w:color w:val="222222"/>
          <w:sz w:val="21"/>
          <w:szCs w:val="21"/>
        </w:rPr>
        <w:t xml:space="preserve">, não menos — redirecionando P&amp;D para durabilidade (</w:t>
      </w:r>
      <w:hyperlink w:history="1" r:id="rIdmqwbtaizofemycdklstrw">
        <w:r>
          <w:rPr>
            <w:rStyle w:val="Hyperlink"/>
            <w:color w:val="1155CC"/>
            <w:sz w:val="19"/>
            <w:szCs w:val="19"/>
            <w:u w:val="single"/>
          </w:rPr>
          <w:t xml:space="preserve">Harvard D3</w:t>
        </w:r>
      </w:hyperlink>
      <w:r>
        <w:rPr>
          <w:color w:val="222222"/>
          <w:sz w:val="21"/>
          <w:szCs w:val="21"/>
        </w:rPr>
        <w:t xml:space="preserve">). Clientes do Effifuel registraram economia média de </w:t>
      </w:r>
      <w:r>
        <w:rPr>
          <w:b/>
          <w:bCs/>
          <w:color w:val="2A005D"/>
          <w:sz w:val="21"/>
          <w:szCs w:val="21"/>
        </w:rPr>
        <w:t xml:space="preserve">1,5 litro/100km</w:t>
      </w:r>
      <w:r>
        <w:rPr>
          <w:color w:val="222222"/>
          <w:sz w:val="21"/>
          <w:szCs w:val="21"/>
        </w:rPr>
        <w:t xml:space="preserve">. Estimativas de mercado (não oficiais) situavam o MFS em ~</w:t>
      </w:r>
      <w:r>
        <w:rPr>
          <w:b/>
          <w:bCs/>
          <w:color w:val="2A005D"/>
          <w:sz w:val="21"/>
          <w:szCs w:val="21"/>
        </w:rPr>
        <w:t xml:space="preserve">€500 milhões</w:t>
      </w:r>
      <w:r>
        <w:rPr>
          <w:color w:val="222222"/>
          <w:sz w:val="21"/>
          <w:szCs w:val="21"/>
        </w:rPr>
        <w:t xml:space="preserve"> (2013), para uma empresa avaliada em ~€6,5 bi. No plano "Michelin in Motion 2030", negócios não-pneus devem chegar a </w:t>
      </w:r>
      <w:r>
        <w:rPr>
          <w:b/>
          <w:bCs/>
          <w:color w:val="2A005D"/>
          <w:sz w:val="21"/>
          <w:szCs w:val="21"/>
        </w:rPr>
        <w:t xml:space="preserve">20-30% das vendas até 2030</w:t>
      </w:r>
      <w:r>
        <w:rPr>
          <w:color w:val="222222"/>
          <w:sz w:val="21"/>
          <w:szCs w:val="21"/>
        </w:rPr>
        <w:t xml:space="preserve">. </w:t>
      </w:r>
      <w:r>
        <w:rPr>
          <w:b/>
          <w:bCs/>
          <w:color w:val="2A005D"/>
          <w:sz w:val="21"/>
          <w:szCs w:val="21"/>
        </w:rPr>
        <w:t xml:space="preserve">Ressalva central e citada com frequência no ensino deste caso</w:t>
      </w:r>
      <w:r>
        <w:rPr>
          <w:color w:val="222222"/>
          <w:sz w:val="21"/>
          <w:szCs w:val="21"/>
        </w:rPr>
        <w:t xml:space="preserve">: no lançamento, o MFS </w:t>
      </w:r>
      <w:r>
        <w:rPr>
          <w:b/>
          <w:bCs/>
          <w:color w:val="2A005D"/>
          <w:sz w:val="21"/>
          <w:szCs w:val="21"/>
        </w:rPr>
        <w:t xml:space="preserve">não gerou lucro por três anos consecutivos</w:t>
      </w:r>
      <w:r>
        <w:rPr>
          <w:color w:val="222222"/>
          <w:sz w:val="21"/>
          <w:szCs w:val="21"/>
        </w:rPr>
        <w:t xml:space="preserve">, e a expansão ficou muito abaixo do esperado mesmo com apoio de consultoria estratégica externa (</w:t>
      </w:r>
      <w:hyperlink w:history="1" r:id="rIdkvk92zb_naueitpdgctq-">
        <w:r>
          <w:rPr>
            <w:rStyle w:val="Hyperlink"/>
            <w:color w:val="1155CC"/>
            <w:sz w:val="19"/>
            <w:szCs w:val="19"/>
            <w:u w:val="single"/>
          </w:rPr>
          <w:t xml:space="preserve">IMD</w:t>
        </w:r>
      </w:hyperlink>
      <w:r>
        <w:rPr>
          <w:color w:val="222222"/>
          <w:sz w:val="21"/>
          <w:szCs w:val="21"/>
        </w:rPr>
        <w:t xml:space="preserve">) — o ganho não foi imediato nem garantido.</w:t>
      </w:r>
    </w:p>
    <w:p>
      <w:pPr>
        <w:pStyle w:val="Heading2"/>
        <w:spacing w:after="100" w:before="260"/>
      </w:pPr>
      <w:r>
        <w:rPr>
          <w:b/>
          <w:bCs/>
          <w:color w:val="4B238D"/>
          <w:sz w:val="22"/>
          <w:szCs w:val="22"/>
        </w:rPr>
        <w:t xml:space="preserve">Ganho do cliente</w:t>
      </w:r>
    </w:p>
    <w:p>
      <w:pPr>
        <w:spacing w:after="160" w:line="300"/>
      </w:pPr>
      <w:r>
        <w:rPr>
          <w:color w:val="222222"/>
          <w:sz w:val="21"/>
          <w:szCs w:val="21"/>
        </w:rPr>
        <w:t xml:space="preserve">Previsibilidade de custo (preço fixo por km em vez de gastos incertos com substituição/paradas), menor consumo de combustível por manutenção adequada, menor carga administrativa (fatura única). Casos citam ganho de </w:t>
      </w:r>
      <w:r>
        <w:rPr>
          <w:b/>
          <w:bCs/>
          <w:color w:val="2A005D"/>
          <w:sz w:val="21"/>
          <w:szCs w:val="21"/>
        </w:rPr>
        <w:t xml:space="preserve">até 25% na vida útil dos pneus</w:t>
      </w:r>
      <w:r>
        <w:rPr>
          <w:color w:val="222222"/>
          <w:sz w:val="21"/>
          <w:szCs w:val="21"/>
        </w:rPr>
        <w:t xml:space="preserve"> frente a concorrentes, atribuído à gestão especializada. </w:t>
      </w:r>
      <w:r>
        <w:rPr>
          <w:b/>
          <w:bCs/>
          <w:color w:val="2A005D"/>
          <w:sz w:val="21"/>
          <w:szCs w:val="21"/>
        </w:rPr>
        <w:t xml:space="preserve">Lacuna sinalizada:</w:t>
      </w:r>
      <w:r>
        <w:rPr>
          <w:color w:val="222222"/>
          <w:sz w:val="21"/>
          <w:szCs w:val="21"/>
        </w:rPr>
        <w:t xml:space="preserve"> não foi localizado case de cliente nomeado com ROI auditado e público — os números disponíveis são agregados/institucionais, não estudos independentes.</w:t>
      </w:r>
    </w:p>
    <w:p>
      <w:pPr>
        <w:pStyle w:val="Heading2"/>
        <w:spacing w:after="100" w:before="260"/>
      </w:pPr>
      <w:r>
        <w:rPr>
          <w:b/>
          <w:bCs/>
          <w:color w:val="4B238D"/>
          <w:sz w:val="22"/>
          <w:szCs w:val="22"/>
        </w:rPr>
        <w:t xml:space="preserve">O que o cliente "leva"</w:t>
      </w:r>
    </w:p>
    <w:p>
      <w:pPr>
        <w:spacing w:after="160" w:line="300"/>
      </w:pPr>
      <w:r>
        <w:rPr>
          <w:color w:val="222222"/>
          <w:sz w:val="21"/>
          <w:szCs w:val="21"/>
        </w:rPr>
        <w:t xml:space="preserve">O cliente </w:t>
      </w:r>
      <w:r>
        <w:rPr>
          <w:b/>
          <w:bCs/>
          <w:color w:val="2A005D"/>
          <w:sz w:val="21"/>
          <w:szCs w:val="21"/>
        </w:rPr>
        <w:t xml:space="preserve">não é mais proprietário dos pneus</w:t>
      </w:r>
      <w:r>
        <w:rPr>
          <w:color w:val="222222"/>
          <w:sz w:val="21"/>
          <w:szCs w:val="21"/>
        </w:rPr>
        <w:t xml:space="preserve"> — permanecem propriedade da Michelin durante o contrato. Recebe: uso contínuo de um portfólio de pneus mantido pela Michelin, gestão completa (calibragem, rotação, substituição, recapagem, atendimento em rodovia), monitoramento contínuo e relatórios/consultoria de eficiência — tudo em fatura única e previsível.</w:t>
      </w:r>
    </w:p>
    <w:p>
      <w:pPr>
        <w:pStyle w:val="Heading2"/>
        <w:spacing w:after="100" w:before="260"/>
      </w:pPr>
      <w:r>
        <w:rPr>
          <w:b/>
          <w:bCs/>
          <w:color w:val="4B238D"/>
          <w:sz w:val="22"/>
          <w:szCs w:val="22"/>
        </w:rPr>
        <w:t xml:space="preserve">Vantagens e desvantagens</w:t>
      </w:r>
    </w:p>
    <w:p>
      <w:pPr>
        <w:spacing w:after="160" w:line="300"/>
      </w:pPr>
      <w:r>
        <w:rPr>
          <w:b/>
          <w:bCs/>
          <w:color w:val="2A005D"/>
          <w:sz w:val="21"/>
          <w:szCs w:val="21"/>
        </w:rPr>
        <w:t xml:space="preserve">Frota — a favor:</w:t>
      </w:r>
      <w:r>
        <w:rPr>
          <w:color w:val="222222"/>
          <w:sz w:val="21"/>
          <w:szCs w:val="21"/>
        </w:rPr>
        <w:t xml:space="preserve"> previsibilidade, transferência de risco de ativo, menos burocracia, pneus sempre no estado ótimo. </w:t>
      </w:r>
      <w:r>
        <w:rPr>
          <w:b/>
          <w:bCs/>
          <w:color w:val="2A005D"/>
          <w:sz w:val="21"/>
          <w:szCs w:val="21"/>
        </w:rPr>
        <w:t xml:space="preserve">Frota — contra:</w:t>
      </w:r>
      <w:r>
        <w:rPr>
          <w:color w:val="222222"/>
          <w:sz w:val="21"/>
          <w:szCs w:val="21"/>
        </w:rPr>
        <w:t xml:space="preserve"> perda de flexibilidade para marcas mais baratas (lock-in tecnológico), dependência contratual de 3-5 anos, resistência inicial por causa do custo aparente mais alto num mercado ainda imaturo para esse tipo de contrato. </w:t>
      </w:r>
      <w:r>
        <w:rPr>
          <w:b/>
          <w:bCs/>
          <w:color w:val="2A005D"/>
          <w:sz w:val="21"/>
          <w:szCs w:val="21"/>
        </w:rPr>
        <w:t xml:space="preserve">Michelin — a favor:</w:t>
      </w:r>
      <w:r>
        <w:rPr>
          <w:color w:val="222222"/>
          <w:sz w:val="21"/>
          <w:szCs w:val="21"/>
        </w:rPr>
        <w:t xml:space="preserve"> receita recorrente, maior fidelização, alinhamento com durabilidade, menor exposição à guerra de preço. </w:t>
      </w:r>
      <w:r>
        <w:rPr>
          <w:b/>
          <w:bCs/>
          <w:color w:val="2A005D"/>
          <w:sz w:val="21"/>
          <w:szCs w:val="21"/>
        </w:rPr>
        <w:t xml:space="preserve">Michelin — contra:</w:t>
      </w:r>
      <w:r>
        <w:rPr>
          <w:color w:val="222222"/>
          <w:sz w:val="21"/>
          <w:szCs w:val="21"/>
        </w:rPr>
        <w:t xml:space="preserve"> passou a carregar </w:t>
      </w:r>
      <w:r>
        <w:rPr>
          <w:b/>
          <w:bCs/>
          <w:color w:val="2A005D"/>
          <w:sz w:val="21"/>
          <w:szCs w:val="21"/>
        </w:rPr>
        <w:t xml:space="preserve">CAPEX e estoque de pneus</w:t>
      </w:r>
      <w:r>
        <w:rPr>
          <w:color w:val="222222"/>
          <w:sz w:val="21"/>
          <w:szCs w:val="21"/>
        </w:rPr>
        <w:t xml:space="preserve"> distribuídos entre milhares de caminhões, assumindo o risco de substituição, além da complexidade logística de uma rede de serviço em pontos de rodovia. </w:t>
      </w:r>
      <w:r>
        <w:rPr>
          <w:b/>
          <w:bCs/>
          <w:color w:val="2A005D"/>
          <w:sz w:val="21"/>
          <w:szCs w:val="21"/>
        </w:rPr>
        <w:t xml:space="preserve">Conflito organizacional real e bem documentado</w:t>
      </w:r>
      <w:r>
        <w:rPr>
          <w:color w:val="222222"/>
          <w:sz w:val="21"/>
          <w:szCs w:val="21"/>
        </w:rPr>
        <w:t xml:space="preserve">: a força de vendas tradicional via o MFS como ameaça ao seu KPI principal (volume de pneus vendidos), gerando tensão — inclusive "críticas abertas" de vendedores de produto à própria oferta de serviço (</w:t>
      </w:r>
      <w:hyperlink w:history="1" r:id="rIdg7hfbstdfymrab-hmypk0">
        <w:r>
          <w:rPr>
            <w:rStyle w:val="Hyperlink"/>
            <w:color w:val="1155CC"/>
            <w:sz w:val="19"/>
            <w:szCs w:val="19"/>
            <w:u w:val="single"/>
          </w:rPr>
          <w:t xml:space="preserve">Harvard D3</w:t>
        </w:r>
      </w:hyperlink>
      <w:r>
        <w:rPr>
          <w:color w:val="222222"/>
          <w:sz w:val="21"/>
          <w:szCs w:val="21"/>
        </w:rPr>
        <w:t xml:space="preserve">). A literatura de caso trata o MFS como transformação </w:t>
      </w:r>
      <w:r>
        <w:rPr>
          <w:b/>
          <w:bCs/>
          <w:color w:val="2A005D"/>
          <w:sz w:val="21"/>
          <w:szCs w:val="21"/>
        </w:rPr>
        <w:t xml:space="preserve">difícil e não linear</w:t>
      </w:r>
      <w:r>
        <w:rPr>
          <w:color w:val="222222"/>
          <w:sz w:val="21"/>
          <w:szCs w:val="21"/>
        </w:rPr>
        <w:t xml:space="preserve">, útil justamente por mostrar obstáculos reais, não um sucesso instantâneo.</w:t>
      </w:r>
    </w:p>
    <w:p>
      <w:pPr>
        <w:pStyle w:val="Heading2"/>
        <w:spacing w:after="100" w:before="260"/>
      </w:pPr>
      <w:r>
        <w:rPr>
          <w:b/>
          <w:bCs/>
          <w:color w:val="4B238D"/>
          <w:sz w:val="22"/>
          <w:szCs w:val="22"/>
        </w:rPr>
        <w:t xml:space="preserve">Mecânica financeira</w:t>
      </w:r>
    </w:p>
    <w:p>
      <w:pPr>
        <w:spacing w:after="160" w:line="300"/>
      </w:pPr>
      <w:r>
        <w:rPr>
          <w:color w:val="222222"/>
          <w:sz w:val="21"/>
          <w:szCs w:val="21"/>
        </w:rPr>
        <w:t xml:space="preserve">O preço por km é calculado para cobrir o custo esperado do pneu ao longo da vida útil projetada mais margem de serviço, com base em dados históricos/preditivos de desgaste (hoje via sensores Effifuel/Connected Fleet). Receita passa a ser recorrente/contratual, distribuída conforme quilometragem rodada, em vez de reconhecida no ato da venda. Como a Michelin retém a propriedade, também retém o risco de substituição antecipada — "o risco industrial passa a ser assumido pela Michelin em troca de uma taxa mensal". No Effifuel, o mecanismo é explícito: meta de economia compartilhada, com reembolso pro rata se não atingida. </w:t>
      </w:r>
      <w:r>
        <w:rPr>
          <w:b/>
          <w:bCs/>
          <w:color w:val="2A005D"/>
          <w:sz w:val="21"/>
          <w:szCs w:val="21"/>
        </w:rPr>
        <w:t xml:space="preserve">Lacuna sinalizada:</w:t>
      </w:r>
      <w:r>
        <w:rPr>
          <w:color w:val="222222"/>
          <w:sz w:val="21"/>
          <w:szCs w:val="21"/>
        </w:rPr>
        <w:t xml:space="preserve"> não há dados públicos de contabilidade/reconhecimento de receita (ex. nota IFRS 15) nem a fórmula exata de precificação por km.</w:t>
      </w:r>
    </w:p>
    <w:p>
      <w:pPr>
        <w:pStyle w:val="Heading2"/>
        <w:spacing w:after="100" w:before="260"/>
      </w:pPr>
      <w:r>
        <w:rPr>
          <w:b/>
          <w:bCs/>
          <w:color w:val="4B238D"/>
          <w:sz w:val="22"/>
          <w:szCs w:val="22"/>
        </w:rPr>
        <w:t xml:space="preserve">Como é vendido</w:t>
      </w:r>
    </w:p>
    <w:p>
      <w:pPr>
        <w:spacing w:after="160" w:line="300"/>
      </w:pPr>
      <w:r>
        <w:rPr>
          <w:color w:val="222222"/>
          <w:sz w:val="21"/>
          <w:szCs w:val="21"/>
        </w:rPr>
        <w:t xml:space="preserve">Força de vendas </w:t>
      </w:r>
      <w:r>
        <w:rPr>
          <w:b/>
          <w:bCs/>
          <w:color w:val="2A005D"/>
          <w:sz w:val="21"/>
          <w:szCs w:val="21"/>
        </w:rPr>
        <w:t xml:space="preserve">dedicada</w:t>
      </w:r>
      <w:r>
        <w:rPr>
          <w:color w:val="222222"/>
          <w:sz w:val="21"/>
          <w:szCs w:val="21"/>
        </w:rPr>
        <w:t xml:space="preserve"> ao Fleet Solutions, distinta da equipe tradicional — o que gerou a fricção organizacional já descrita. Em 2013, a criação da </w:t>
      </w:r>
      <w:r>
        <w:rPr>
          <w:b/>
          <w:bCs/>
          <w:color w:val="2A005D"/>
          <w:sz w:val="21"/>
          <w:szCs w:val="21"/>
        </w:rPr>
        <w:t xml:space="preserve">Michelin Solutions</w:t>
      </w:r>
      <w:r>
        <w:rPr>
          <w:color w:val="222222"/>
          <w:sz w:val="21"/>
          <w:szCs w:val="21"/>
        </w:rPr>
        <w:t xml:space="preserve"> como unidade separada formalizou essa mudança. A literatura de caso (IMD) documenta de forma transparente os desafios de gestão da mudança: investimento em mudança cultural, convencimento de funcionários céticos, abordagem iterativa por pilotos, parcerias com especialistas em big data. Michelin é hoje um dos exemplos mais citados em bibliografia de servitização justamente por essa jornada de décadas, incluindo o case IMD e o case HBS "Michelin: Building a Digital Service Platform" (</w:t>
      </w:r>
      <w:hyperlink w:history="1" r:id="rIdbedlrsg3b3gxqmmyr3lps">
        <w:r>
          <w:rPr>
            <w:rStyle w:val="Hyperlink"/>
            <w:color w:val="1155CC"/>
            <w:sz w:val="19"/>
            <w:szCs w:val="19"/>
            <w:u w:val="single"/>
          </w:rPr>
          <w:t xml:space="preserve">HBS</w:t>
        </w:r>
      </w:hyperlink>
      <w:r>
        <w:rPr>
          <w:color w:val="222222"/>
          <w:sz w:val="21"/>
          <w:szCs w:val="21"/>
        </w:rPr>
        <w:t xml:space="preserve">).</w:t>
      </w:r>
    </w:p>
    <w:p>
      <w:pPr>
        <w:spacing w:after="160" w:line="300"/>
      </w:pPr>
      <w:r>
        <w:rPr>
          <w:b/>
          <w:bCs/>
          <w:color w:val="2A005D"/>
          <w:sz w:val="21"/>
          <w:szCs w:val="21"/>
        </w:rPr>
        <w:t xml:space="preserve">Fontes:</w:t>
      </w:r>
      <w:r>
        <w:rPr>
          <w:color w:val="222222"/>
          <w:sz w:val="21"/>
          <w:szCs w:val="21"/>
        </w:rPr>
        <w:t xml:space="preserve"> </w:t>
      </w:r>
      <w:hyperlink w:history="1" r:id="rIdrovo4z_n9h2ud2u73ahgl">
        <w:r>
          <w:rPr>
            <w:rStyle w:val="Hyperlink"/>
            <w:color w:val="1155CC"/>
            <w:sz w:val="19"/>
            <w:szCs w:val="19"/>
            <w:u w:val="single"/>
          </w:rPr>
          <w:t xml:space="preserve">IMD — Michelin Fleet Solutions</w:t>
        </w:r>
      </w:hyperlink>
      <w:r>
        <w:rPr>
          <w:color w:val="222222"/>
          <w:sz w:val="21"/>
          <w:szCs w:val="21"/>
        </w:rPr>
        <w:t xml:space="preserve"> · </w:t>
      </w:r>
      <w:hyperlink w:history="1" r:id="rId20ovneknwadml_duwgq1-">
        <w:r>
          <w:rPr>
            <w:rStyle w:val="Hyperlink"/>
            <w:color w:val="1155CC"/>
            <w:sz w:val="19"/>
            <w:szCs w:val="19"/>
            <w:u w:val="single"/>
          </w:rPr>
          <w:t xml:space="preserve">IMD — Digital transformation</w:t>
        </w:r>
      </w:hyperlink>
      <w:r>
        <w:rPr>
          <w:color w:val="222222"/>
          <w:sz w:val="21"/>
          <w:szCs w:val="21"/>
        </w:rPr>
        <w:t xml:space="preserve"> · </w:t>
      </w:r>
      <w:hyperlink w:history="1" r:id="rIdpmlyee0mlrrwg4t83vnqk">
        <w:r>
          <w:rPr>
            <w:rStyle w:val="Hyperlink"/>
            <w:color w:val="1155CC"/>
            <w:sz w:val="19"/>
            <w:szCs w:val="19"/>
            <w:u w:val="single"/>
          </w:rPr>
          <w:t xml:space="preserve">HBS — Michelin Digital Service Platform</w:t>
        </w:r>
      </w:hyperlink>
      <w:r>
        <w:rPr>
          <w:color w:val="222222"/>
          <w:sz w:val="21"/>
          <w:szCs w:val="21"/>
        </w:rPr>
        <w:t xml:space="preserve"> · </w:t>
      </w:r>
      <w:hyperlink w:history="1" r:id="rIdwxw-sk5g_j9xu5xz3lsk4">
        <w:r>
          <w:rPr>
            <w:rStyle w:val="Hyperlink"/>
            <w:color w:val="1155CC"/>
            <w:sz w:val="19"/>
            <w:szCs w:val="19"/>
            <w:u w:val="single"/>
          </w:rPr>
          <w:t xml:space="preserve">Harvard D3</w:t>
        </w:r>
      </w:hyperlink>
      <w:r>
        <w:rPr>
          <w:color w:val="222222"/>
          <w:sz w:val="21"/>
          <w:szCs w:val="21"/>
        </w:rPr>
        <w:t xml:space="preserve"> · </w:t>
      </w:r>
      <w:hyperlink w:history="1" r:id="rIdklzsabbzu6ydxpfcx-gie">
        <w:r>
          <w:rPr>
            <w:rStyle w:val="Hyperlink"/>
            <w:color w:val="1155CC"/>
            <w:sz w:val="19"/>
            <w:szCs w:val="19"/>
            <w:u w:val="single"/>
          </w:rPr>
          <w:t xml:space="preserve">Michelin Fleet Solutions site oficial</w:t>
        </w:r>
      </w:hyperlink>
      <w:r>
        <w:rPr>
          <w:color w:val="222222"/>
          <w:sz w:val="21"/>
          <w:szCs w:val="21"/>
        </w:rPr>
        <w:t xml:space="preserve"> · </w:t>
      </w:r>
      <w:hyperlink w:history="1" r:id="rIdhrof0rpzfrz5mge5uns2q">
        <w:r>
          <w:rPr>
            <w:rStyle w:val="Hyperlink"/>
            <w:color w:val="1155CC"/>
            <w:sz w:val="19"/>
            <w:szCs w:val="19"/>
            <w:u w:val="single"/>
          </w:rPr>
          <w:t xml:space="preserve">Cision — Effifuel launch</w:t>
        </w:r>
      </w:hyperlink>
      <w:r>
        <w:rPr>
          <w:color w:val="222222"/>
          <w:sz w:val="21"/>
          <w:szCs w:val="21"/>
        </w:rPr>
        <w:t xml:space="preserve"> · </w:t>
      </w:r>
      <w:hyperlink w:history="1" r:id="rIde0tdevofzunvca2bndjdb">
        <w:r>
          <w:rPr>
            <w:rStyle w:val="Hyperlink"/>
            <w:color w:val="1155CC"/>
            <w:sz w:val="19"/>
            <w:szCs w:val="19"/>
            <w:u w:val="single"/>
          </w:rPr>
          <w:t xml:space="preserve">Michelin — All Sustainable 2030</w:t>
        </w:r>
      </w:hyperlink>
    </w:p>
    <w:p>
      <w:r>
        <w:br w:type="page"/>
      </w:r>
    </w:p>
    <w:p>
      <w:pPr>
        <w:pStyle w:val="Heading1"/>
        <w:pBdr>
          <w:bottom w:val="single" w:color="4B238D" w:sz="6" w:space="4"/>
        </w:pBdr>
        <w:spacing w:after="160" w:before="380"/>
      </w:pPr>
      <w:r>
        <w:rPr>
          <w:b/>
          <w:bCs/>
          <w:color w:val="2A005D"/>
          <w:sz w:val="28"/>
          <w:szCs w:val="28"/>
        </w:rPr>
        <w:t xml:space="preserve">6. Aggreko — energia/geradores como serviço para telecom</w:t>
      </w:r>
    </w:p>
    <w:p>
      <w:pPr>
        <w:spacing w:after="240"/>
      </w:pPr>
      <w:r>
        <w:rPr>
          <w:i/>
          <w:iCs/>
          <w:color w:val="555555"/>
          <w:sz w:val="19"/>
          <w:szCs w:val="19"/>
        </w:rPr>
        <w:t xml:space="preserve">O case mais diretamente comparável ao negócio da Moura — mesmo setor (telecom), mesmo tipo de ativo (energia crítica de backup).</w:t>
      </w:r>
    </w:p>
    <w:p>
      <w:pPr>
        <w:pStyle w:val="Heading2"/>
        <w:spacing w:after="100" w:before="260"/>
      </w:pPr>
      <w:r>
        <w:rPr>
          <w:b/>
          <w:bCs/>
          <w:color w:val="4B238D"/>
          <w:sz w:val="22"/>
          <w:szCs w:val="22"/>
        </w:rPr>
        <w:t xml:space="preserve">Antes (o modelo antigo)</w:t>
      </w:r>
    </w:p>
    <w:p>
      <w:pPr>
        <w:spacing w:after="160" w:line="300"/>
      </w:pPr>
      <w:r>
        <w:rPr>
          <w:color w:val="222222"/>
          <w:sz w:val="21"/>
          <w:szCs w:val="21"/>
        </w:rPr>
        <w:t xml:space="preserve">O mercado de geração de energia funcionava como venda de equipamento: fabricantes (Caterpillar, Cummins, MTU) vendiam geradores diesel como ativo de capital, e a operadora arcava com CAPEX, instalação, manutenção, combustível e depreciação, assumindo integralmente o risco técnico/financeiro. A Aggreko nasceu em 1962 (Glasgow a partir de 1973) já como negócio de </w:t>
      </w:r>
      <w:r>
        <w:rPr>
          <w:b/>
          <w:bCs/>
          <w:color w:val="2A005D"/>
          <w:sz w:val="21"/>
          <w:szCs w:val="21"/>
        </w:rPr>
        <w:t xml:space="preserve">aluguel</w:t>
      </w:r>
      <w:r>
        <w:rPr>
          <w:color w:val="222222"/>
          <w:sz w:val="21"/>
          <w:szCs w:val="21"/>
        </w:rPr>
        <w:t xml:space="preserve">, não de venda (</w:t>
      </w:r>
      <w:hyperlink w:history="1" r:id="rIdi-azh97nirrgjcrxpfqq0">
        <w:r>
          <w:rPr>
            <w:rStyle w:val="Hyperlink"/>
            <w:color w:val="1155CC"/>
            <w:sz w:val="19"/>
            <w:szCs w:val="19"/>
            <w:u w:val="single"/>
          </w:rPr>
          <w:t xml:space="preserve">FundingUniverse</w:t>
        </w:r>
      </w:hyperlink>
      <w:r>
        <w:rPr>
          <w:color w:val="222222"/>
          <w:sz w:val="21"/>
          <w:szCs w:val="21"/>
        </w:rPr>
        <w:t xml:space="preserve">). O problema específico em telecom é bem documentado pela GSMA: até 2020, ~</w:t>
      </w:r>
      <w:r>
        <w:rPr>
          <w:b/>
          <w:bCs/>
          <w:color w:val="2A005D"/>
          <w:sz w:val="21"/>
          <w:szCs w:val="21"/>
        </w:rPr>
        <w:t xml:space="preserve">390 mil torres off-grid</w:t>
      </w:r>
      <w:r>
        <w:rPr>
          <w:color w:val="222222"/>
          <w:sz w:val="21"/>
          <w:szCs w:val="21"/>
        </w:rPr>
        <w:t xml:space="preserve"> e </w:t>
      </w:r>
      <w:r>
        <w:rPr>
          <w:b/>
          <w:bCs/>
          <w:color w:val="2A005D"/>
          <w:sz w:val="21"/>
          <w:szCs w:val="21"/>
        </w:rPr>
        <w:t xml:space="preserve">790 mil torres em áreas de rede ruim</w:t>
      </w:r>
      <w:r>
        <w:rPr>
          <w:color w:val="222222"/>
          <w:sz w:val="21"/>
          <w:szCs w:val="21"/>
        </w:rPr>
        <w:t xml:space="preserve">, gerando gasto anual estimado de </w:t>
      </w:r>
      <w:r>
        <w:rPr>
          <w:b/>
          <w:bCs/>
          <w:color w:val="2A005D"/>
          <w:sz w:val="21"/>
          <w:szCs w:val="21"/>
        </w:rPr>
        <w:t xml:space="preserve">US$19 bilhões em diesel</w:t>
      </w:r>
      <w:r>
        <w:rPr>
          <w:color w:val="222222"/>
          <w:sz w:val="21"/>
          <w:szCs w:val="21"/>
        </w:rPr>
        <w:t xml:space="preserve"> e ~45 milhões de toneladas de CO2 (</w:t>
      </w:r>
      <w:hyperlink w:history="1" r:id="rIds33ufek2xixh7yws76kur">
        <w:r>
          <w:rPr>
            <w:rStyle w:val="Hyperlink"/>
            <w:color w:val="1155CC"/>
            <w:sz w:val="19"/>
            <w:szCs w:val="19"/>
            <w:u w:val="single"/>
          </w:rPr>
          <w:t xml:space="preserve">GSMA</w:t>
        </w:r>
      </w:hyperlink>
      <w:r>
        <w:rPr>
          <w:color w:val="222222"/>
          <w:sz w:val="21"/>
          <w:szCs w:val="21"/>
        </w:rPr>
        <w:t xml:space="preserve">). No caso MTN Nigéria, o data center de Lagos dependia de rede tão instável que </w:t>
      </w:r>
      <w:r>
        <w:rPr>
          <w:b/>
          <w:bCs/>
          <w:color w:val="2A005D"/>
          <w:sz w:val="21"/>
          <w:szCs w:val="21"/>
        </w:rPr>
        <w:t xml:space="preserve">95% do tempo a energia vinha de gerador diesel temporário</w:t>
      </w:r>
      <w:r>
        <w:rPr>
          <w:color w:val="222222"/>
          <w:sz w:val="21"/>
          <w:szCs w:val="21"/>
        </w:rPr>
        <w:t xml:space="preserve">, com custo "em espiral" (</w:t>
      </w:r>
      <w:hyperlink w:history="1" r:id="rIdldbfchkda4ghnfpmwm-51">
        <w:r>
          <w:rPr>
            <w:rStyle w:val="Hyperlink"/>
            <w:color w:val="1155CC"/>
            <w:sz w:val="19"/>
            <w:szCs w:val="19"/>
            <w:u w:val="single"/>
          </w:rPr>
          <w:t xml:space="preserve">Aggreko</w:t>
        </w:r>
      </w:hyperlink>
      <w:r>
        <w:rPr>
          <w:color w:val="222222"/>
          <w:sz w:val="21"/>
          <w:szCs w:val="21"/>
        </w:rPr>
        <w:t xml:space="preserve">).</w:t>
      </w:r>
    </w:p>
    <w:p>
      <w:pPr>
        <w:pStyle w:val="Heading2"/>
        <w:spacing w:after="100" w:before="260"/>
      </w:pPr>
      <w:r>
        <w:rPr>
          <w:b/>
          <w:bCs/>
          <w:color w:val="4B238D"/>
          <w:sz w:val="22"/>
          <w:szCs w:val="22"/>
        </w:rPr>
        <w:t xml:space="preserve">Depois (o modelo novo)</w:t>
      </w:r>
    </w:p>
    <w:p>
      <w:pPr>
        <w:spacing w:after="160" w:line="300"/>
      </w:pPr>
      <w:r>
        <w:rPr>
          <w:color w:val="222222"/>
          <w:sz w:val="21"/>
          <w:szCs w:val="21"/>
        </w:rPr>
        <w:t xml:space="preserve">A Aggreko opera com contratos flexíveis: de aluguel puro a arranjos estilo </w:t>
      </w:r>
      <w:r>
        <w:rPr>
          <w:b/>
          <w:bCs/>
          <w:color w:val="2A005D"/>
          <w:sz w:val="21"/>
          <w:szCs w:val="21"/>
        </w:rPr>
        <w:t xml:space="preserve">IPP (Independent Power Producer)</w:t>
      </w:r>
      <w:r>
        <w:rPr>
          <w:color w:val="222222"/>
          <w:sz w:val="21"/>
          <w:szCs w:val="21"/>
        </w:rPr>
        <w:t xml:space="preserve"> — tarifa de disponibilidade pelos MW contratados mais tarifa de energia por kWh consumido, modelo híbrido de capacidade + energia (</w:t>
      </w:r>
      <w:hyperlink w:history="1" r:id="rIdlsazmbfh7se0wnx_7ed6m">
        <w:r>
          <w:rPr>
            <w:rStyle w:val="Hyperlink"/>
            <w:color w:val="1155CC"/>
            <w:sz w:val="19"/>
            <w:szCs w:val="19"/>
            <w:u w:val="single"/>
          </w:rPr>
          <w:t xml:space="preserve">Aggreko</w:t>
        </w:r>
      </w:hyperlink>
      <w:r>
        <w:rPr>
          <w:color w:val="222222"/>
          <w:sz w:val="21"/>
          <w:szCs w:val="21"/>
        </w:rPr>
        <w:t xml:space="preserve">). Em contratos de maior prazo, usa também </w:t>
      </w:r>
      <w:r>
        <w:rPr>
          <w:b/>
          <w:bCs/>
          <w:color w:val="2A005D"/>
          <w:sz w:val="21"/>
          <w:szCs w:val="21"/>
        </w:rPr>
        <w:t xml:space="preserve">BOOT (Build-Own-Operate-Transfer)</w:t>
      </w:r>
      <w:r>
        <w:rPr>
          <w:color w:val="222222"/>
          <w:sz w:val="21"/>
          <w:szCs w:val="21"/>
        </w:rPr>
        <w:t xml:space="preserve">: constrói, é dona e opera por período acordado, com opção de venda dos ativos ao cliente ao final por preço combinado. Em qualquer variante, </w:t>
      </w:r>
      <w:r>
        <w:rPr>
          <w:b/>
          <w:bCs/>
          <w:color w:val="2A005D"/>
          <w:sz w:val="21"/>
          <w:szCs w:val="21"/>
        </w:rPr>
        <w:t xml:space="preserve">a Aggreko é dona dos geradores</w:t>
      </w:r>
      <w:r>
        <w:rPr>
          <w:color w:val="222222"/>
          <w:sz w:val="21"/>
          <w:szCs w:val="21"/>
        </w:rPr>
        <w:t xml:space="preserve"> durante o contrato. No caso MTN Nigéria: em dez/2018, instalou </w:t>
      </w:r>
      <w:r>
        <w:rPr>
          <w:b/>
          <w:bCs/>
          <w:color w:val="2A005D"/>
          <w:sz w:val="21"/>
          <w:szCs w:val="21"/>
        </w:rPr>
        <w:t xml:space="preserve">cinco geradores a gás QSK 60 de 1.375 kVA cada (5 MW total)</w:t>
      </w:r>
      <w:r>
        <w:rPr>
          <w:color w:val="222222"/>
          <w:sz w:val="21"/>
          <w:szCs w:val="21"/>
        </w:rPr>
        <w:t xml:space="preserve"> com redundância, substituindo rede+diesel, gerando economia de </w:t>
      </w:r>
      <w:r>
        <w:rPr>
          <w:b/>
          <w:bCs/>
          <w:color w:val="2A005D"/>
          <w:sz w:val="21"/>
          <w:szCs w:val="21"/>
        </w:rPr>
        <w:t xml:space="preserve">~40%</w:t>
      </w:r>
      <w:r>
        <w:rPr>
          <w:color w:val="222222"/>
          <w:sz w:val="21"/>
          <w:szCs w:val="21"/>
        </w:rPr>
        <w:t xml:space="preserve"> frente à alternativa anterior, com </w:t>
      </w:r>
      <w:r>
        <w:rPr>
          <w:b/>
          <w:bCs/>
          <w:color w:val="2A005D"/>
          <w:sz w:val="21"/>
          <w:szCs w:val="21"/>
        </w:rPr>
        <w:t xml:space="preserve">garantia contratual de 97% de disponibilidade</w:t>
      </w:r>
      <w:r>
        <w:rPr>
          <w:color w:val="222222"/>
          <w:sz w:val="21"/>
          <w:szCs w:val="21"/>
        </w:rPr>
        <w:t xml:space="preserve">, cumprida sem interrupções — sucesso que gerou expansão para mais 2 MW (site Apapa) e 3 MW (sede MTN Lagos).</w:t>
      </w:r>
    </w:p>
    <w:p>
      <w:pPr>
        <w:pStyle w:val="Heading2"/>
        <w:spacing w:after="100" w:before="260"/>
      </w:pPr>
      <w:r>
        <w:rPr>
          <w:b/>
          <w:bCs/>
          <w:color w:val="4B238D"/>
          <w:sz w:val="22"/>
          <w:szCs w:val="22"/>
        </w:rPr>
        <w:t xml:space="preserve">Ganho da empresa</w:t>
      </w:r>
    </w:p>
    <w:p>
      <w:pPr>
        <w:spacing w:after="160" w:line="300"/>
      </w:pPr>
      <w:r>
        <w:rPr>
          <w:color w:val="222222"/>
          <w:sz w:val="21"/>
          <w:szCs w:val="21"/>
        </w:rPr>
        <w:t xml:space="preserve">Receita recorrente e contratada, com forte crescimento: </w:t>
      </w:r>
      <w:r>
        <w:rPr>
          <w:b/>
          <w:bCs/>
          <w:color w:val="2A005D"/>
          <w:sz w:val="21"/>
          <w:szCs w:val="21"/>
        </w:rPr>
        <w:t xml:space="preserve">US$2,85 bilhões em receita em 2024 (+14% a/a)</w:t>
      </w:r>
      <w:r>
        <w:rPr>
          <w:color w:val="222222"/>
          <w:sz w:val="21"/>
          <w:szCs w:val="21"/>
        </w:rPr>
        <w:t xml:space="preserve">, lucro antes de impostos quase triplicando de US$115 milhões para </w:t>
      </w:r>
      <w:r>
        <w:rPr>
          <w:b/>
          <w:bCs/>
          <w:color w:val="2A005D"/>
          <w:sz w:val="21"/>
          <w:szCs w:val="21"/>
        </w:rPr>
        <w:t xml:space="preserve">US$329 milhões</w:t>
      </w:r>
      <w:r>
        <w:rPr>
          <w:color w:val="222222"/>
          <w:sz w:val="21"/>
          <w:szCs w:val="21"/>
        </w:rPr>
        <w:t xml:space="preserve">, EBITDA de </w:t>
      </w:r>
      <w:r>
        <w:rPr>
          <w:b/>
          <w:bCs/>
          <w:color w:val="2A005D"/>
          <w:sz w:val="21"/>
          <w:szCs w:val="21"/>
        </w:rPr>
        <w:t xml:space="preserve">US$1,1 bilhão (+16%)</w:t>
      </w:r>
      <w:r>
        <w:rPr>
          <w:color w:val="222222"/>
          <w:sz w:val="21"/>
          <w:szCs w:val="21"/>
        </w:rPr>
        <w:t xml:space="preserve"> (</w:t>
      </w:r>
      <w:hyperlink w:history="1" r:id="rIdipo8ykqi4ysdf7qpshqq4">
        <w:r>
          <w:rPr>
            <w:rStyle w:val="Hyperlink"/>
            <w:color w:val="1155CC"/>
            <w:sz w:val="19"/>
            <w:szCs w:val="19"/>
            <w:u w:val="single"/>
          </w:rPr>
          <w:t xml:space="preserve">International Rental News</w:t>
        </w:r>
      </w:hyperlink>
      <w:r>
        <w:rPr>
          <w:color w:val="222222"/>
          <w:sz w:val="21"/>
          <w:szCs w:val="21"/>
        </w:rPr>
        <w:t xml:space="preserve">). O segmento de utilities representou </w:t>
      </w:r>
      <w:r>
        <w:rPr>
          <w:b/>
          <w:bCs/>
          <w:color w:val="2A005D"/>
          <w:sz w:val="21"/>
          <w:szCs w:val="21"/>
        </w:rPr>
        <w:t xml:space="preserve">27%</w:t>
      </w:r>
      <w:r>
        <w:rPr>
          <w:color w:val="222222"/>
          <w:sz w:val="21"/>
          <w:szCs w:val="21"/>
        </w:rPr>
        <w:t xml:space="preserve"> da receita em 2025; receita de data centers somou </w:t>
      </w:r>
      <w:r>
        <w:rPr>
          <w:b/>
          <w:bCs/>
          <w:color w:val="2A005D"/>
          <w:sz w:val="21"/>
          <w:szCs w:val="21"/>
        </w:rPr>
        <w:t xml:space="preserve">US$391 milhões</w:t>
      </w:r>
      <w:r>
        <w:rPr>
          <w:color w:val="222222"/>
          <w:sz w:val="21"/>
          <w:szCs w:val="21"/>
        </w:rPr>
        <w:t xml:space="preserve">. Frota avaliada em </w:t>
      </w:r>
      <w:r>
        <w:rPr>
          <w:b/>
          <w:bCs/>
          <w:color w:val="2A005D"/>
          <w:sz w:val="21"/>
          <w:szCs w:val="21"/>
        </w:rPr>
        <w:t xml:space="preserve">US$5,1 bilhões</w:t>
      </w:r>
      <w:r>
        <w:rPr>
          <w:color w:val="222222"/>
          <w:sz w:val="21"/>
          <w:szCs w:val="21"/>
        </w:rPr>
        <w:t xml:space="preserve">, com investimento de </w:t>
      </w:r>
      <w:r>
        <w:rPr>
          <w:b/>
          <w:bCs/>
          <w:color w:val="2A005D"/>
          <w:sz w:val="21"/>
          <w:szCs w:val="21"/>
        </w:rPr>
        <w:t xml:space="preserve">US$945 milhões em 2025</w:t>
      </w:r>
      <w:r>
        <w:rPr>
          <w:color w:val="222222"/>
          <w:sz w:val="21"/>
          <w:szCs w:val="21"/>
        </w:rPr>
        <w:t xml:space="preserve">. </w:t>
      </w:r>
      <w:r>
        <w:rPr>
          <w:b/>
          <w:bCs/>
          <w:color w:val="2A005D"/>
          <w:sz w:val="21"/>
          <w:szCs w:val="21"/>
        </w:rPr>
        <w:t xml:space="preserve">Lacuna:</w:t>
      </w:r>
      <w:r>
        <w:rPr>
          <w:color w:val="222222"/>
          <w:sz w:val="21"/>
          <w:szCs w:val="21"/>
        </w:rPr>
        <w:t xml:space="preserve"> não há divulgação de taxa de utilização de frota específica para telecom.</w:t>
      </w:r>
    </w:p>
    <w:p>
      <w:pPr>
        <w:pStyle w:val="Heading2"/>
        <w:spacing w:after="100" w:before="260"/>
      </w:pPr>
      <w:r>
        <w:rPr>
          <w:b/>
          <w:bCs/>
          <w:color w:val="4B238D"/>
          <w:sz w:val="22"/>
          <w:szCs w:val="22"/>
        </w:rPr>
        <w:t xml:space="preserve">Ganho do cliente</w:t>
      </w:r>
    </w:p>
    <w:p>
      <w:pPr>
        <w:spacing w:after="160" w:line="300"/>
      </w:pPr>
      <w:r>
        <w:rPr>
          <w:color w:val="222222"/>
          <w:sz w:val="21"/>
          <w:szCs w:val="21"/>
        </w:rPr>
        <w:t xml:space="preserve">Evita CAPEX em geração própria, ganha velocidade de implantação (frota já existente vs. ciclo de compra) e flexibilidade contratual (de 3 meses a muitos anos). No caso MTN, ganho quantificado de </w:t>
      </w:r>
      <w:r>
        <w:rPr>
          <w:b/>
          <w:bCs/>
          <w:color w:val="2A005D"/>
          <w:sz w:val="21"/>
          <w:szCs w:val="21"/>
        </w:rPr>
        <w:t xml:space="preserve">~40% de economia</w:t>
      </w:r>
      <w:r>
        <w:rPr>
          <w:color w:val="222222"/>
          <w:sz w:val="21"/>
          <w:szCs w:val="21"/>
        </w:rPr>
        <w:t xml:space="preserve"> frente ao diesel, com eliminação de downtime (97% de disponibilidade cumprida). Em escala setorial, a GSMA estima que converter torres de telecom para soluções mais eficientes poderia gerar </w:t>
      </w:r>
      <w:r>
        <w:rPr>
          <w:b/>
          <w:bCs/>
          <w:color w:val="2A005D"/>
          <w:sz w:val="21"/>
          <w:szCs w:val="21"/>
        </w:rPr>
        <w:t xml:space="preserve">US$13-14 bilhões/ano em economia</w:t>
      </w:r>
      <w:r>
        <w:rPr>
          <w:color w:val="222222"/>
          <w:sz w:val="21"/>
          <w:szCs w:val="21"/>
        </w:rPr>
        <w:t xml:space="preserve">, com investimento inicial de ~US$2,1 bilhões — argumento estrutural a favor de terceirizar geração em vez de possuí-la.</w:t>
      </w:r>
    </w:p>
    <w:p>
      <w:pPr>
        <w:pStyle w:val="Heading2"/>
        <w:spacing w:after="100" w:before="260"/>
      </w:pPr>
      <w:r>
        <w:rPr>
          <w:b/>
          <w:bCs/>
          <w:color w:val="4B238D"/>
          <w:sz w:val="22"/>
          <w:szCs w:val="22"/>
        </w:rPr>
        <w:t xml:space="preserve">O que o cliente "leva"</w:t>
      </w:r>
    </w:p>
    <w:p>
      <w:pPr>
        <w:spacing w:after="160" w:line="300"/>
      </w:pPr>
      <w:r>
        <w:rPr>
          <w:color w:val="222222"/>
          <w:sz w:val="21"/>
          <w:szCs w:val="21"/>
        </w:rPr>
        <w:t xml:space="preserve">Não recebe ativos — recebe capacidade garantida (MW disponíveis) com SLA de disponibilidade, monitoramento e operação pela Aggreko, manutenção inclusa e, dependendo do contrato, gestão logística de combustível (a responsabilidade por combustível é negociável contrato a contrato). Em arranjos BOOT, pode haver opção contratual de compra dos ativos ao final.</w:t>
      </w:r>
    </w:p>
    <w:p>
      <w:pPr>
        <w:pStyle w:val="Heading2"/>
        <w:spacing w:after="100" w:before="260"/>
      </w:pPr>
      <w:r>
        <w:rPr>
          <w:b/>
          <w:bCs/>
          <w:color w:val="4B238D"/>
          <w:sz w:val="22"/>
          <w:szCs w:val="22"/>
        </w:rPr>
        <w:t xml:space="preserve">Vantagens e desvantagens</w:t>
      </w:r>
    </w:p>
    <w:p>
      <w:pPr>
        <w:spacing w:after="160" w:line="300"/>
      </w:pPr>
      <w:r>
        <w:rPr>
          <w:b/>
          <w:bCs/>
          <w:color w:val="2A005D"/>
          <w:sz w:val="21"/>
          <w:szCs w:val="21"/>
        </w:rPr>
        <w:t xml:space="preserve">Cliente — a favor:</w:t>
      </w:r>
      <w:r>
        <w:rPr>
          <w:color w:val="222222"/>
          <w:sz w:val="21"/>
          <w:szCs w:val="21"/>
        </w:rPr>
        <w:t xml:space="preserve"> eliminação de CAPEX, velocidade, transferência de risco técnico. </w:t>
      </w:r>
      <w:r>
        <w:rPr>
          <w:b/>
          <w:bCs/>
          <w:color w:val="2A005D"/>
          <w:sz w:val="21"/>
          <w:szCs w:val="21"/>
        </w:rPr>
        <w:t xml:space="preserve">Cliente — contra:</w:t>
      </w:r>
      <w:r>
        <w:rPr>
          <w:color w:val="222222"/>
          <w:sz w:val="21"/>
          <w:szCs w:val="21"/>
        </w:rPr>
        <w:t xml:space="preserve"> em uso contínuo de longo prazo, o custo por kWh de aluguel tende a </w:t>
      </w:r>
      <w:r>
        <w:rPr>
          <w:b/>
          <w:bCs/>
          <w:color w:val="2A005D"/>
          <w:sz w:val="21"/>
          <w:szCs w:val="21"/>
        </w:rPr>
        <w:t xml:space="preserve">superar</w:t>
      </w:r>
      <w:r>
        <w:rPr>
          <w:color w:val="222222"/>
          <w:sz w:val="21"/>
          <w:szCs w:val="21"/>
        </w:rPr>
        <w:t xml:space="preserve"> o custo de propriedade — aluguel compensa para necessidade temporária/flutuante, não para carga-base permanente (</w:t>
      </w:r>
      <w:hyperlink w:history="1" r:id="rIdm_qbzbz85wtth3-vbunll">
        <w:r>
          <w:rPr>
            <w:rStyle w:val="Hyperlink"/>
            <w:color w:val="1155CC"/>
            <w:sz w:val="19"/>
            <w:szCs w:val="19"/>
            <w:u w:val="single"/>
          </w:rPr>
          <w:t xml:space="preserve">Generator Source</w:t>
        </w:r>
      </w:hyperlink>
      <w:r>
        <w:rPr>
          <w:color w:val="222222"/>
          <w:sz w:val="21"/>
          <w:szCs w:val="21"/>
        </w:rPr>
        <w:t xml:space="preserve">). </w:t>
      </w:r>
      <w:r>
        <w:rPr>
          <w:b/>
          <w:bCs/>
          <w:color w:val="2A005D"/>
          <w:sz w:val="21"/>
          <w:szCs w:val="21"/>
        </w:rPr>
        <w:t xml:space="preserve">Aggreko — a favor:</w:t>
      </w:r>
      <w:r>
        <w:rPr>
          <w:color w:val="222222"/>
          <w:sz w:val="21"/>
          <w:szCs w:val="21"/>
        </w:rPr>
        <w:t xml:space="preserve"> base de receita recorrente com margem crescente. </w:t>
      </w:r>
      <w:r>
        <w:rPr>
          <w:b/>
          <w:bCs/>
          <w:color w:val="2A005D"/>
          <w:sz w:val="21"/>
          <w:szCs w:val="21"/>
        </w:rPr>
        <w:t xml:space="preserve">Aggreko — contra:</w:t>
      </w:r>
      <w:r>
        <w:rPr>
          <w:color w:val="222222"/>
          <w:sz w:val="21"/>
          <w:szCs w:val="21"/>
        </w:rPr>
        <w:t xml:space="preserve"> intensidade de capital enorme (US$945 milhões em frota só em 2025), e a empresa está sob propriedade de private equity (TDR Capital e I Squared Capital, LBO de £2,6 bi em 2021, com IPO potencial em 2026 a avaliação de US$15 bilhões) — estrutura alavancada que amplia o risco financeiro do modelo intensivo em ativos (</w:t>
      </w:r>
      <w:hyperlink w:history="1" r:id="rId4pucwbyirbunbtpytp8w3">
        <w:r>
          <w:rPr>
            <w:rStyle w:val="Hyperlink"/>
            <w:color w:val="1155CC"/>
            <w:sz w:val="19"/>
            <w:szCs w:val="19"/>
            <w:u w:val="single"/>
          </w:rPr>
          <w:t xml:space="preserve">TDR Capital</w:t>
        </w:r>
      </w:hyperlink>
      <w:r>
        <w:rPr>
          <w:color w:val="222222"/>
          <w:sz w:val="21"/>
          <w:szCs w:val="21"/>
        </w:rPr>
        <w:t xml:space="preserve">); há também risco de exposição a preço de combustível e risco competitivo à medida que solar+baterias caem de preço, tornando CAPEX próprio mais atrativo no longo prazo para o cliente.</w:t>
      </w:r>
    </w:p>
    <w:p>
      <w:pPr>
        <w:pStyle w:val="Heading2"/>
        <w:spacing w:after="100" w:before="260"/>
      </w:pPr>
      <w:r>
        <w:rPr>
          <w:b/>
          <w:bCs/>
          <w:color w:val="4B238D"/>
          <w:sz w:val="22"/>
          <w:szCs w:val="22"/>
        </w:rPr>
        <w:t xml:space="preserve">Mecânica financeira</w:t>
      </w:r>
    </w:p>
    <w:p>
      <w:pPr>
        <w:spacing w:after="160" w:line="300"/>
      </w:pPr>
      <w:r>
        <w:rPr>
          <w:color w:val="222222"/>
          <w:sz w:val="21"/>
          <w:szCs w:val="21"/>
        </w:rPr>
        <w:t xml:space="preserve">O negócio opera sobre a lógica de </w:t>
      </w:r>
      <w:r>
        <w:rPr>
          <w:b/>
          <w:bCs/>
          <w:color w:val="2A005D"/>
          <w:sz w:val="21"/>
          <w:szCs w:val="21"/>
        </w:rPr>
        <w:t xml:space="preserve">girar a mesma frota repetidas vezes</w:t>
      </w:r>
      <w:r>
        <w:rPr>
          <w:color w:val="222222"/>
          <w:sz w:val="21"/>
          <w:szCs w:val="21"/>
        </w:rPr>
        <w:t xml:space="preserve"> — métrica-padrão do setor: "time utilization" (% do tempo em que o ativo está alugado) e "dollar utilization" (receita anual de aluguel ÷ custo de aquisição do ativo) (</w:t>
      </w:r>
      <w:hyperlink w:history="1" r:id="rIdoogt1e7xna_iyjiyepypz">
        <w:r>
          <w:rPr>
            <w:rStyle w:val="Hyperlink"/>
            <w:color w:val="1155CC"/>
            <w:sz w:val="19"/>
            <w:szCs w:val="19"/>
            <w:u w:val="single"/>
          </w:rPr>
          <w:t xml:space="preserve">InTempo Software</w:t>
        </w:r>
      </w:hyperlink>
      <w:r>
        <w:rPr>
          <w:color w:val="222222"/>
          <w:sz w:val="21"/>
          <w:szCs w:val="21"/>
        </w:rPr>
        <w:t xml:space="preserve">). Contratos telecom tipicamente combinam tarifa fixa de disponibilidade (capacidade) com tarifa de energia por kWh, semelhante a um IPP. Prazos variam de meses a vários anos.</w:t>
      </w:r>
    </w:p>
    <w:p>
      <w:pPr>
        <w:pStyle w:val="Heading2"/>
        <w:spacing w:after="100" w:before="260"/>
      </w:pPr>
      <w:r>
        <w:rPr>
          <w:b/>
          <w:bCs/>
          <w:color w:val="4B238D"/>
          <w:sz w:val="22"/>
          <w:szCs w:val="22"/>
        </w:rPr>
        <w:t xml:space="preserve">Como é vendido</w:t>
      </w:r>
    </w:p>
    <w:p>
      <w:pPr>
        <w:spacing w:after="160" w:line="300"/>
      </w:pPr>
      <w:r>
        <w:rPr>
          <w:color w:val="222222"/>
          <w:sz w:val="21"/>
          <w:szCs w:val="21"/>
        </w:rPr>
        <w:t xml:space="preserve">A Aggreko organiza sua força comercial por </w:t>
      </w:r>
      <w:r>
        <w:rPr>
          <w:b/>
          <w:bCs/>
          <w:color w:val="2A005D"/>
          <w:sz w:val="21"/>
          <w:szCs w:val="21"/>
        </w:rPr>
        <w:t xml:space="preserve">setor vertical dedicado</w:t>
      </w:r>
      <w:r>
        <w:rPr>
          <w:color w:val="222222"/>
          <w:sz w:val="21"/>
          <w:szCs w:val="21"/>
        </w:rPr>
        <w:t xml:space="preserve"> — vagas específicas como "Sector Sales Manager – Oil &amp; Gas", páginas de setor dedicadas (Telecom, Utilities, Mineração, Óleo &amp; Gás, Construção, Eventos), cada uma com plano de mercado e estratégia de vendas próprios (</w:t>
      </w:r>
      <w:hyperlink w:history="1" r:id="rIdvgxck_qfp-dq4yvit5q_n">
        <w:r>
          <w:rPr>
            <w:rStyle w:val="Hyperlink"/>
            <w:color w:val="1155CC"/>
            <w:sz w:val="19"/>
            <w:szCs w:val="19"/>
            <w:u w:val="single"/>
          </w:rPr>
          <w:t xml:space="preserve">Aggreko Careers</w:t>
        </w:r>
      </w:hyperlink>
      <w:r>
        <w:rPr>
          <w:color w:val="222222"/>
          <w:sz w:val="21"/>
          <w:szCs w:val="21"/>
        </w:rPr>
        <w:t xml:space="preserve">). Para telecom, a empresa se posiciona com "60 anos apoiando operadoras de telecom e emissoras". No marketing digital, segmenta leads por setor e por perfil de stakeholder dentro do cliente (engenheiro vs. executivo de sustentabilidade).</w:t>
      </w:r>
    </w:p>
    <w:p>
      <w:pPr>
        <w:spacing w:after="160" w:line="300"/>
      </w:pPr>
      <w:r>
        <w:rPr>
          <w:b/>
          <w:bCs/>
          <w:color w:val="2A005D"/>
          <w:sz w:val="21"/>
          <w:szCs w:val="21"/>
        </w:rPr>
        <w:t xml:space="preserve">Fontes:</w:t>
      </w:r>
      <w:r>
        <w:rPr>
          <w:color w:val="222222"/>
          <w:sz w:val="21"/>
          <w:szCs w:val="21"/>
        </w:rPr>
        <w:t xml:space="preserve"> </w:t>
      </w:r>
      <w:hyperlink w:history="1" r:id="rIdcdrwwzbqqvb8l6ddmvghi">
        <w:r>
          <w:rPr>
            <w:rStyle w:val="Hyperlink"/>
            <w:color w:val="1155CC"/>
            <w:sz w:val="19"/>
            <w:szCs w:val="19"/>
            <w:u w:val="single"/>
          </w:rPr>
          <w:t xml:space="preserve">Aggreko — case MTN Nigeria</w:t>
        </w:r>
      </w:hyperlink>
      <w:r>
        <w:rPr>
          <w:color w:val="222222"/>
          <w:sz w:val="21"/>
          <w:szCs w:val="21"/>
        </w:rPr>
        <w:t xml:space="preserve"> · </w:t>
      </w:r>
      <w:hyperlink w:history="1" r:id="rIdtm1wfhy3648m7rfb4nncv">
        <w:r>
          <w:rPr>
            <w:rStyle w:val="Hyperlink"/>
            <w:color w:val="1155CC"/>
            <w:sz w:val="19"/>
            <w:szCs w:val="19"/>
            <w:u w:val="single"/>
          </w:rPr>
          <w:t xml:space="preserve">Aggreko — Telecom</w:t>
        </w:r>
      </w:hyperlink>
      <w:r>
        <w:rPr>
          <w:color w:val="222222"/>
          <w:sz w:val="21"/>
          <w:szCs w:val="21"/>
        </w:rPr>
        <w:t xml:space="preserve"> · </w:t>
      </w:r>
      <w:hyperlink w:history="1" r:id="rIdjldmrshigza5qtwfhwcup">
        <w:r>
          <w:rPr>
            <w:rStyle w:val="Hyperlink"/>
            <w:color w:val="1155CC"/>
            <w:sz w:val="19"/>
            <w:szCs w:val="19"/>
            <w:u w:val="single"/>
          </w:rPr>
          <w:t xml:space="preserve">GSMA — Global Telecom Tower ESCO Market</w:t>
        </w:r>
      </w:hyperlink>
      <w:r>
        <w:rPr>
          <w:color w:val="222222"/>
          <w:sz w:val="21"/>
          <w:szCs w:val="21"/>
        </w:rPr>
        <w:t xml:space="preserve"> · </w:t>
      </w:r>
      <w:hyperlink w:history="1" r:id="rIdhgeghga1tv7d36divgwjc">
        <w:r>
          <w:rPr>
            <w:rStyle w:val="Hyperlink"/>
            <w:color w:val="1155CC"/>
            <w:sz w:val="19"/>
            <w:szCs w:val="19"/>
            <w:u w:val="single"/>
          </w:rPr>
          <w:t xml:space="preserve">International Rental News — resultados anuais</w:t>
        </w:r>
      </w:hyperlink>
      <w:r>
        <w:rPr>
          <w:color w:val="222222"/>
          <w:sz w:val="21"/>
          <w:szCs w:val="21"/>
        </w:rPr>
        <w:t xml:space="preserve"> · </w:t>
      </w:r>
      <w:hyperlink w:history="1" r:id="rIdqrz_olwoyhgglxl9fw1z2">
        <w:r>
          <w:rPr>
            <w:rStyle w:val="Hyperlink"/>
            <w:color w:val="1155CC"/>
            <w:sz w:val="19"/>
            <w:szCs w:val="19"/>
            <w:u w:val="single"/>
          </w:rPr>
          <w:t xml:space="preserve">FundingUniverse — história</w:t>
        </w:r>
      </w:hyperlink>
      <w:r>
        <w:rPr>
          <w:color w:val="222222"/>
          <w:sz w:val="21"/>
          <w:szCs w:val="21"/>
        </w:rPr>
        <w:t xml:space="preserve"> · </w:t>
      </w:r>
      <w:hyperlink w:history="1" r:id="rId2stehdjufd7atwodotggc">
        <w:r>
          <w:rPr>
            <w:rStyle w:val="Hyperlink"/>
            <w:color w:val="1155CC"/>
            <w:sz w:val="19"/>
            <w:szCs w:val="19"/>
            <w:u w:val="single"/>
          </w:rPr>
          <w:t xml:space="preserve">TDR Capital</w:t>
        </w:r>
      </w:hyperlink>
      <w:r>
        <w:rPr>
          <w:color w:val="222222"/>
          <w:sz w:val="21"/>
          <w:szCs w:val="21"/>
        </w:rPr>
        <w:t xml:space="preserve"> · </w:t>
      </w:r>
      <w:hyperlink w:history="1" r:id="rIda_ubxtnl03vmudkejuxbx">
        <w:r>
          <w:rPr>
            <w:rStyle w:val="Hyperlink"/>
            <w:color w:val="1155CC"/>
            <w:sz w:val="19"/>
            <w:szCs w:val="19"/>
            <w:u w:val="single"/>
          </w:rPr>
          <w:t xml:space="preserve">Generator Source — rent vs buy</w:t>
        </w:r>
      </w:hyperlink>
    </w:p>
    <w:p>
      <w:r>
        <w:br w:type="page"/>
      </w:r>
    </w:p>
    <w:p>
      <w:pPr>
        <w:pStyle w:val="Heading1"/>
        <w:pBdr>
          <w:bottom w:val="single" w:color="4B238D" w:sz="6" w:space="4"/>
        </w:pBdr>
        <w:spacing w:after="160" w:before="380"/>
      </w:pPr>
      <w:r>
        <w:rPr>
          <w:b/>
          <w:bCs/>
          <w:color w:val="2A005D"/>
          <w:sz w:val="28"/>
          <w:szCs w:val="28"/>
        </w:rPr>
        <w:t xml:space="preserve">7. Sunrun — Third-Party Ownership (energia solar residencial como serviço)</w:t>
      </w:r>
    </w:p>
    <w:p>
      <w:pPr>
        <w:spacing w:after="240"/>
      </w:pPr>
      <w:r>
        <w:rPr>
          <w:i/>
          <w:iCs/>
          <w:color w:val="555555"/>
          <w:sz w:val="19"/>
          <w:szCs w:val="19"/>
        </w:rPr>
        <w:t xml:space="preserve">Caso mais útil como referência de **mecanismo de financiamento** do CAPEX — não pela semelhança do produto, mas pela engenharia financeira. Pesquisa incluiu deliberadamente o lado difícil recente do modelo (2023-2025), não só a versão de sucesso.</w:t>
      </w:r>
    </w:p>
    <w:p>
      <w:pPr>
        <w:pStyle w:val="Heading2"/>
        <w:spacing w:after="100" w:before="260"/>
      </w:pPr>
      <w:r>
        <w:rPr>
          <w:b/>
          <w:bCs/>
          <w:color w:val="4B238D"/>
          <w:sz w:val="22"/>
          <w:szCs w:val="22"/>
        </w:rPr>
        <w:t xml:space="preserve">Antes (o modelo antigo)</w:t>
      </w:r>
    </w:p>
    <w:p>
      <w:pPr>
        <w:spacing w:after="160" w:line="300"/>
      </w:pPr>
      <w:r>
        <w:rPr>
          <w:color w:val="222222"/>
          <w:sz w:val="21"/>
          <w:szCs w:val="21"/>
        </w:rPr>
        <w:t xml:space="preserve">A energia solar residencial nos EUA era vendida como produto de capital: o morador comprava o sistema à vista ou via empréstimo tradicional, com custo inicial típico de </w:t>
      </w:r>
      <w:r>
        <w:rPr>
          <w:b/>
          <w:bCs/>
          <w:color w:val="2A005D"/>
          <w:sz w:val="21"/>
          <w:szCs w:val="21"/>
        </w:rPr>
        <w:t xml:space="preserve">US$15.000-35.000</w:t>
      </w:r>
      <w:r>
        <w:rPr>
          <w:color w:val="222222"/>
          <w:sz w:val="21"/>
          <w:szCs w:val="21"/>
        </w:rPr>
        <w:t xml:space="preserve"> antes de incentivos (US$15.000-25.000 após o crédito fiscal federal de 30%) (</w:t>
      </w:r>
      <w:hyperlink w:history="1" r:id="rIdsj6no_e3wmm3t2jimhx29">
        <w:r>
          <w:rPr>
            <w:rStyle w:val="Hyperlink"/>
            <w:color w:val="1155CC"/>
            <w:sz w:val="19"/>
            <w:szCs w:val="19"/>
            <w:u w:val="single"/>
          </w:rPr>
          <w:t xml:space="preserve">SolarTechOnline</w:t>
        </w:r>
      </w:hyperlink>
      <w:r>
        <w:rPr>
          <w:color w:val="222222"/>
          <w:sz w:val="21"/>
          <w:szCs w:val="21"/>
        </w:rPr>
        <w:t xml:space="preserve">). Esse alto custo de entrada era a principal barreira de adoção em massa. Foi para resolver esse gargalo que, em janeiro de 2007, Ed Fenster, Lynn Jurich e Nat Kreamer fundaram a Sunrun, sendo a primeira empresa a oferecer contratos de compra de energia (PPA) residenciais — vender energia, não painéis.</w:t>
      </w:r>
    </w:p>
    <w:p>
      <w:pPr>
        <w:pStyle w:val="Heading2"/>
        <w:spacing w:after="100" w:before="260"/>
      </w:pPr>
      <w:r>
        <w:rPr>
          <w:b/>
          <w:bCs/>
          <w:color w:val="4B238D"/>
          <w:sz w:val="22"/>
          <w:szCs w:val="22"/>
        </w:rPr>
        <w:t xml:space="preserve">Depois (o modelo novo)</w:t>
      </w:r>
    </w:p>
    <w:p>
      <w:pPr>
        <w:spacing w:after="160" w:line="300"/>
      </w:pPr>
      <w:r>
        <w:rPr>
          <w:color w:val="222222"/>
          <w:sz w:val="21"/>
          <w:szCs w:val="21"/>
        </w:rPr>
        <w:t xml:space="preserve">No modelo de </w:t>
      </w:r>
      <w:r>
        <w:rPr>
          <w:b/>
          <w:bCs/>
          <w:color w:val="2A005D"/>
          <w:sz w:val="21"/>
          <w:szCs w:val="21"/>
        </w:rPr>
        <w:t xml:space="preserve">Third-Party Ownership (TPO)</w:t>
      </w:r>
      <w:r>
        <w:rPr>
          <w:color w:val="222222"/>
          <w:sz w:val="21"/>
          <w:szCs w:val="21"/>
        </w:rPr>
        <w:t xml:space="preserve">, a Sunrun (ou um veículo de investimento por ela controlado) instala, é dona e mantém o sistema solar no telhado do cliente; o cliente não compra o equipamento, paga apenas pelo serviço/energia, geralmente </w:t>
      </w:r>
      <w:r>
        <w:rPr>
          <w:b/>
          <w:bCs/>
          <w:color w:val="2A005D"/>
          <w:sz w:val="21"/>
          <w:szCs w:val="21"/>
        </w:rPr>
        <w:t xml:space="preserve">sem custo inicial</w:t>
      </w:r>
      <w:r>
        <w:rPr>
          <w:color w:val="222222"/>
          <w:sz w:val="21"/>
          <w:szCs w:val="21"/>
        </w:rPr>
        <w:t xml:space="preserve">. Duas variantes: </w:t>
      </w:r>
      <w:r>
        <w:rPr>
          <w:b/>
          <w:bCs/>
          <w:color w:val="2A005D"/>
          <w:sz w:val="21"/>
          <w:szCs w:val="21"/>
        </w:rPr>
        <w:t xml:space="preserve">lease</w:t>
      </w:r>
      <w:r>
        <w:rPr>
          <w:color w:val="222222"/>
          <w:sz w:val="21"/>
          <w:szCs w:val="21"/>
        </w:rPr>
        <w:t xml:space="preserve"> (pagamento mensal fixo, independente da produção) e </w:t>
      </w:r>
      <w:r>
        <w:rPr>
          <w:b/>
          <w:bCs/>
          <w:color w:val="2A005D"/>
          <w:sz w:val="21"/>
          <w:szCs w:val="21"/>
        </w:rPr>
        <w:t xml:space="preserve">PPA</w:t>
      </w:r>
      <w:r>
        <w:rPr>
          <w:color w:val="222222"/>
          <w:sz w:val="21"/>
          <w:szCs w:val="21"/>
        </w:rPr>
        <w:t xml:space="preserve"> (tarifa fixa por kWh gerado, fatura varia com a produção). Contratos costumam durar </w:t>
      </w:r>
      <w:r>
        <w:rPr>
          <w:b/>
          <w:bCs/>
          <w:color w:val="2A005D"/>
          <w:sz w:val="21"/>
          <w:szCs w:val="21"/>
        </w:rPr>
        <w:t xml:space="preserve">20 anos</w:t>
      </w:r>
      <w:r>
        <w:rPr>
          <w:color w:val="222222"/>
          <w:sz w:val="21"/>
          <w:szCs w:val="21"/>
        </w:rPr>
        <w:t xml:space="preserve"> (alguns 25), incluindo instalação, monitoramento remoto, manutenção e seguro. Ao final, o cliente tem três caminhos: renovar a tarifa reduzida, comprar o sistema pelo valor de mercado justo (frequentemente </w:t>
      </w:r>
      <w:r>
        <w:rPr>
          <w:b/>
          <w:bCs/>
          <w:color w:val="2A005D"/>
          <w:sz w:val="21"/>
          <w:szCs w:val="21"/>
        </w:rPr>
        <w:t xml:space="preserve">US$1.000-3.000</w:t>
      </w:r>
      <w:r>
        <w:rPr>
          <w:color w:val="222222"/>
          <w:sz w:val="21"/>
          <w:szCs w:val="21"/>
        </w:rPr>
        <w:t xml:space="preserve">, já depreciado) ou remoção gratuita.</w:t>
      </w:r>
    </w:p>
    <w:p>
      <w:pPr>
        <w:spacing w:after="160" w:line="300"/>
      </w:pPr>
      <w:r>
        <w:rPr>
          <w:b/>
          <w:bCs/>
          <w:color w:val="2A005D"/>
          <w:sz w:val="21"/>
          <w:szCs w:val="21"/>
        </w:rPr>
        <w:t xml:space="preserve">Ponto crítico documentado — venda do imóvel:</w:t>
      </w:r>
      <w:r>
        <w:rPr>
          <w:color w:val="222222"/>
          <w:sz w:val="21"/>
          <w:szCs w:val="21"/>
        </w:rPr>
        <w:t xml:space="preserve"> como o contrato é um passivo vinculado ao imóvel (a Sunrun registra um gravame UCC-1 sobre o equipamento), vender a casa exige que o comprador se qualifique para assumir o contrato (análise de crédito) ou que o vendedor faça o *buyout*. Pesquisa da indústria aponta que </w:t>
      </w:r>
      <w:r>
        <w:rPr>
          <w:b/>
          <w:bCs/>
          <w:color w:val="2A005D"/>
          <w:sz w:val="21"/>
          <w:szCs w:val="21"/>
        </w:rPr>
        <w:t xml:space="preserve">62% dos proprietários com contratos de terceiros enfrentam problemas de qualificação do comprador na venda</w:t>
      </w:r>
      <w:r>
        <w:rPr>
          <w:color w:val="222222"/>
          <w:sz w:val="21"/>
          <w:szCs w:val="21"/>
        </w:rPr>
        <w:t xml:space="preserve">; o custo do buyout varia de </w:t>
      </w:r>
      <w:r>
        <w:rPr>
          <w:b/>
          <w:bCs/>
          <w:color w:val="2A005D"/>
          <w:sz w:val="21"/>
          <w:szCs w:val="21"/>
        </w:rPr>
        <w:t xml:space="preserve">US$8.000 a 40.000+</w:t>
      </w:r>
      <w:r>
        <w:rPr>
          <w:color w:val="222222"/>
          <w:sz w:val="21"/>
          <w:szCs w:val="21"/>
        </w:rPr>
        <w:t xml:space="preserve">. Há relatos de imóveis parados no mercado por um ano inteiro por causa da recusa da operadora em transferir o contrato a um comprador pessoa jurídica (</w:t>
      </w:r>
      <w:hyperlink w:history="1" r:id="rIdxznmnkkwfxiqf9iz0z7ur">
        <w:r>
          <w:rPr>
            <w:rStyle w:val="Hyperlink"/>
            <w:color w:val="1155CC"/>
            <w:sz w:val="19"/>
            <w:szCs w:val="19"/>
            <w:u w:val="single"/>
          </w:rPr>
          <w:t xml:space="preserve">therealestateguylv.com</w:t>
        </w:r>
      </w:hyperlink>
      <w:r>
        <w:rPr>
          <w:color w:val="222222"/>
          <w:sz w:val="21"/>
          <w:szCs w:val="21"/>
        </w:rPr>
        <w:t xml:space="preserve">).</w:t>
      </w:r>
    </w:p>
    <w:p>
      <w:pPr>
        <w:pStyle w:val="Heading2"/>
        <w:spacing w:after="100" w:before="260"/>
      </w:pPr>
      <w:r>
        <w:rPr>
          <w:b/>
          <w:bCs/>
          <w:color w:val="4B238D"/>
          <w:sz w:val="22"/>
          <w:szCs w:val="22"/>
        </w:rPr>
        <w:t xml:space="preserve">Ganho da empresa — a engenharia financeira central (o ponto mais relevante para o caso Moura)</w:t>
      </w:r>
    </w:p>
    <w:p>
      <w:pPr>
        <w:spacing w:after="160" w:line="300"/>
      </w:pPr>
      <w:r>
        <w:rPr>
          <w:color w:val="222222"/>
          <w:sz w:val="21"/>
          <w:szCs w:val="21"/>
        </w:rPr>
        <w:t xml:space="preserve">A Sunrun não financia sozinha o CAPEX de instalar mais de 1 milhão de sistemas. Ela monta </w:t>
      </w:r>
      <w:r>
        <w:rPr>
          <w:b/>
          <w:bCs/>
          <w:color w:val="2A005D"/>
          <w:sz w:val="21"/>
          <w:szCs w:val="21"/>
        </w:rPr>
        <w:t xml:space="preserve">fundos de tax equity</w:t>
      </w:r>
      <w:r>
        <w:rPr>
          <w:color w:val="222222"/>
          <w:sz w:val="21"/>
          <w:szCs w:val="21"/>
        </w:rPr>
        <w:t xml:space="preserve"> com parceiros institucionais (grandes bancos/investidores) que injetam capital em troca dos benefícios fiscais do projeto — o </w:t>
      </w:r>
      <w:r>
        <w:rPr>
          <w:b/>
          <w:bCs/>
          <w:color w:val="2A005D"/>
          <w:sz w:val="21"/>
          <w:szCs w:val="21"/>
        </w:rPr>
        <w:t xml:space="preserve">Investment Tax Credit (ITC, atualmente 30%)</w:t>
      </w:r>
      <w:r>
        <w:rPr>
          <w:color w:val="222222"/>
          <w:sz w:val="21"/>
          <w:szCs w:val="21"/>
        </w:rPr>
        <w:t xml:space="preserve"> e a depreciação acelerada (MACRS) — que a própria Sunrun, com lucro tributável relativamente menor, não aproveitaria tão bem (</w:t>
      </w:r>
      <w:hyperlink w:history="1" r:id="rId2ojmcdtsttk7ytvubuklg">
        <w:r>
          <w:rPr>
            <w:rStyle w:val="Hyperlink"/>
            <w:color w:val="1155CC"/>
            <w:sz w:val="19"/>
            <w:szCs w:val="19"/>
            <w:u w:val="single"/>
          </w:rPr>
          <w:t xml:space="preserve">10-K FY2024, SEC</w:t>
        </w:r>
      </w:hyperlink>
      <w:r>
        <w:rPr>
          <w:color w:val="222222"/>
          <w:sz w:val="21"/>
          <w:szCs w:val="21"/>
        </w:rPr>
        <w:t xml:space="preserve">). A Sunrun mantém o </w:t>
      </w:r>
      <w:r>
        <w:rPr>
          <w:b/>
          <w:bCs/>
          <w:color w:val="2A005D"/>
          <w:sz w:val="21"/>
          <w:szCs w:val="21"/>
        </w:rPr>
        <w:t xml:space="preserve">relacionamento com o cliente</w:t>
      </w:r>
      <w:r>
        <w:rPr>
          <w:color w:val="222222"/>
          <w:sz w:val="21"/>
          <w:szCs w:val="21"/>
        </w:rPr>
        <w:t xml:space="preserve"> e o direito aos fluxos de caixa de longo prazo dos pagamentos de lease/PPA. Adicionalmente, </w:t>
      </w:r>
      <w:r>
        <w:rPr>
          <w:b/>
          <w:bCs/>
          <w:color w:val="2A005D"/>
          <w:sz w:val="21"/>
          <w:szCs w:val="21"/>
        </w:rPr>
        <w:t xml:space="preserve">securitiza</w:t>
      </w:r>
      <w:r>
        <w:rPr>
          <w:color w:val="222222"/>
          <w:sz w:val="21"/>
          <w:szCs w:val="21"/>
        </w:rPr>
        <w:t xml:space="preserve"> parte da carteira, emitindo </w:t>
      </w:r>
      <w:r>
        <w:rPr>
          <w:b/>
          <w:bCs/>
          <w:color w:val="2A005D"/>
          <w:sz w:val="21"/>
          <w:szCs w:val="21"/>
        </w:rPr>
        <w:t xml:space="preserve">Asset-Backed Securities (ABS)</w:t>
      </w:r>
      <w:r>
        <w:rPr>
          <w:color w:val="222222"/>
          <w:sz w:val="21"/>
          <w:szCs w:val="21"/>
        </w:rPr>
        <w:t xml:space="preserve"> lastreadas nos fluxos de milhares de contratos — já emitiu ~</w:t>
      </w:r>
      <w:r>
        <w:rPr>
          <w:b/>
          <w:bCs/>
          <w:color w:val="2A005D"/>
          <w:sz w:val="21"/>
          <w:szCs w:val="21"/>
        </w:rPr>
        <w:t xml:space="preserve">US$2,6 bilhões</w:t>
      </w:r>
      <w:r>
        <w:rPr>
          <w:color w:val="222222"/>
          <w:sz w:val="21"/>
          <w:szCs w:val="21"/>
        </w:rPr>
        <w:t xml:space="preserve"> em ABS, colateralizando ~1,8 GW de capacidade; em 2026, o veículo "Sunrun Prometheus Issuer 2026-1" recebeu rating preliminar da KBRA para notas de </w:t>
      </w:r>
      <w:r>
        <w:rPr>
          <w:b/>
          <w:bCs/>
          <w:color w:val="2A005D"/>
          <w:sz w:val="21"/>
          <w:szCs w:val="21"/>
        </w:rPr>
        <w:t xml:space="preserve">US$844,4 milhões</w:t>
      </w:r>
      <w:r>
        <w:rPr>
          <w:color w:val="222222"/>
          <w:sz w:val="21"/>
          <w:szCs w:val="21"/>
        </w:rPr>
        <w:t xml:space="preserve"> (38.706 contratos) (</w:t>
      </w:r>
      <w:hyperlink w:history="1" r:id="rIdvptgqwb6y_f0qlcgpvi_m">
        <w:r>
          <w:rPr>
            <w:rStyle w:val="Hyperlink"/>
            <w:color w:val="1155CC"/>
            <w:sz w:val="19"/>
            <w:szCs w:val="19"/>
            <w:u w:val="single"/>
          </w:rPr>
          <w:t xml:space="preserve">TradersUnion/KBRA</w:t>
        </w:r>
      </w:hyperlink>
      <w:r>
        <w:rPr>
          <w:color w:val="222222"/>
          <w:sz w:val="21"/>
          <w:szCs w:val="21"/>
        </w:rPr>
        <w:t xml:space="preserve">). A dívida é </w:t>
      </w:r>
      <w:r>
        <w:rPr>
          <w:b/>
          <w:bCs/>
          <w:color w:val="2A005D"/>
          <w:sz w:val="21"/>
          <w:szCs w:val="21"/>
        </w:rPr>
        <w:t xml:space="preserve">não recorrente à matriz</w:t>
      </w:r>
      <w:r>
        <w:rPr>
          <w:color w:val="222222"/>
          <w:sz w:val="21"/>
          <w:szCs w:val="21"/>
        </w:rPr>
        <w:t xml:space="preserve"> (non-recourse), isolada em veículos de propósito específico (SPVs).</w:t>
      </w:r>
    </w:p>
    <w:p>
      <w:pPr>
        <w:pStyle w:val="Heading2"/>
        <w:spacing w:after="100" w:before="260"/>
      </w:pPr>
      <w:r>
        <w:rPr>
          <w:b/>
          <w:bCs/>
          <w:color w:val="4B238D"/>
          <w:sz w:val="22"/>
          <w:szCs w:val="22"/>
        </w:rPr>
        <w:t xml:space="preserve">O lado difícil, sem maquiagem (2023-2025)</w:t>
      </w:r>
    </w:p>
    <w:p>
      <w:pPr>
        <w:spacing w:after="160" w:line="300"/>
      </w:pPr>
      <w:r>
        <w:rPr>
          <w:color w:val="222222"/>
          <w:sz w:val="21"/>
          <w:szCs w:val="21"/>
        </w:rPr>
        <w:t xml:space="preserve">Este é um modelo estruturalmente sensível a taxa de juros — o valor presente de fluxos de 20 anos cai quando o custo de capital sobe. A ação da Sunrun </w:t>
      </w:r>
      <w:r>
        <w:rPr>
          <w:b/>
          <w:bCs/>
          <w:color w:val="2A005D"/>
          <w:sz w:val="21"/>
          <w:szCs w:val="21"/>
        </w:rPr>
        <w:t xml:space="preserve">caiu ~80%</w:t>
      </w:r>
      <w:r>
        <w:rPr>
          <w:color w:val="222222"/>
          <w:sz w:val="21"/>
          <w:szCs w:val="21"/>
        </w:rPr>
        <w:t xml:space="preserve"> dos ~US$70 no início de 2021 para ~US$13 em meados de 2024; receita caiu 3% em 2023. A concorrente </w:t>
      </w:r>
      <w:r>
        <w:rPr>
          <w:b/>
          <w:bCs/>
          <w:color w:val="2A005D"/>
          <w:sz w:val="21"/>
          <w:szCs w:val="21"/>
        </w:rPr>
        <w:t xml:space="preserve">SunPower</w:t>
      </w:r>
      <w:r>
        <w:rPr>
          <w:color w:val="222222"/>
          <w:sz w:val="21"/>
          <w:szCs w:val="21"/>
        </w:rPr>
        <w:t xml:space="preserve">, outra pioneira do setor, pediu </w:t>
      </w:r>
      <w:r>
        <w:rPr>
          <w:b/>
          <w:bCs/>
          <w:color w:val="2A005D"/>
          <w:sz w:val="21"/>
          <w:szCs w:val="21"/>
        </w:rPr>
        <w:t xml:space="preserve">recuperação judicial (Chapter 11) em agosto de 2024</w:t>
      </w:r>
      <w:r>
        <w:rPr>
          <w:color w:val="222222"/>
          <w:sz w:val="21"/>
          <w:szCs w:val="21"/>
        </w:rPr>
        <w:t xml:space="preserve">, após parar de honrar leases/PPAs existentes 19 dias antes, num contexto de mudança regulatória na Califórnia e juros altos; seus ativos foram vendidos à Complete Solar em setembro de 2024 (</w:t>
      </w:r>
      <w:hyperlink w:history="1" r:id="rIdiqfxj3-og3lfqmd1dz7pf">
        <w:r>
          <w:rPr>
            <w:rStyle w:val="Hyperlink"/>
            <w:color w:val="1155CC"/>
            <w:sz w:val="19"/>
            <w:szCs w:val="19"/>
            <w:u w:val="single"/>
          </w:rPr>
          <w:t xml:space="preserve">SolarReviews</w:t>
        </w:r>
      </w:hyperlink>
      <w:r>
        <w:rPr>
          <w:color w:val="222222"/>
          <w:sz w:val="21"/>
          <w:szCs w:val="21"/>
        </w:rPr>
        <w:t xml:space="preserve">). Este episódio é um alerta real sobre o risco de capital intensivo em modelos TPO.</w:t>
      </w:r>
    </w:p>
    <w:p>
      <w:pPr>
        <w:spacing w:after="160" w:line="300"/>
      </w:pPr>
      <w:r>
        <w:rPr>
          <w:b/>
          <w:bCs/>
          <w:color w:val="2A005D"/>
          <w:sz w:val="21"/>
          <w:szCs w:val="21"/>
        </w:rPr>
        <w:t xml:space="preserve">Contraponto importante para calibrar a leitura:</w:t>
      </w:r>
      <w:r>
        <w:rPr>
          <w:color w:val="222222"/>
          <w:sz w:val="21"/>
          <w:szCs w:val="21"/>
        </w:rPr>
        <w:t xml:space="preserve"> apesar da turbulência, o TPO </w:t>
      </w:r>
      <w:r>
        <w:rPr>
          <w:b/>
          <w:bCs/>
          <w:color w:val="2A005D"/>
          <w:sz w:val="21"/>
          <w:szCs w:val="21"/>
        </w:rPr>
        <w:t xml:space="preserve">ganhou participação de mercado</w:t>
      </w:r>
      <w:r>
        <w:rPr>
          <w:color w:val="222222"/>
          <w:sz w:val="21"/>
          <w:szCs w:val="21"/>
        </w:rPr>
        <w:t xml:space="preserve"> justamente durante a crise de juros altos — depois de crescer &gt;30% em 2024, atingiu </w:t>
      </w:r>
      <w:r>
        <w:rPr>
          <w:b/>
          <w:bCs/>
          <w:color w:val="2A005D"/>
          <w:sz w:val="21"/>
          <w:szCs w:val="21"/>
        </w:rPr>
        <w:t xml:space="preserve">45% de participação</w:t>
      </w:r>
      <w:r>
        <w:rPr>
          <w:color w:val="222222"/>
          <w:sz w:val="21"/>
          <w:szCs w:val="21"/>
        </w:rPr>
        <w:t xml:space="preserve"> no residencial dos EUA (maior nível desde 2016), superando pela primeira vez as vendas de propriedade direta no 4º tri de 2024; no mercado C&amp;I (comercial/industrial), o TPO já responde por </w:t>
      </w:r>
      <w:r>
        <w:rPr>
          <w:b/>
          <w:bCs/>
          <w:color w:val="2A005D"/>
          <w:sz w:val="21"/>
          <w:szCs w:val="21"/>
        </w:rPr>
        <w:t xml:space="preserve">72%</w:t>
      </w:r>
      <w:r>
        <w:rPr>
          <w:color w:val="222222"/>
          <w:sz w:val="21"/>
          <w:szCs w:val="21"/>
        </w:rPr>
        <w:t xml:space="preserve"> das instalações (</w:t>
      </w:r>
      <w:hyperlink w:history="1" r:id="rIdfqxxx8ipqjsxkpqjf-2sz">
        <w:r>
          <w:rPr>
            <w:rStyle w:val="Hyperlink"/>
            <w:color w:val="1155CC"/>
            <w:sz w:val="19"/>
            <w:szCs w:val="19"/>
            <w:u w:val="single"/>
          </w:rPr>
          <w:t xml:space="preserve">Wood Mackenzie</w:t>
        </w:r>
      </w:hyperlink>
      <w:r>
        <w:rPr>
          <w:color w:val="222222"/>
          <w:sz w:val="21"/>
          <w:szCs w:val="21"/>
        </w:rPr>
        <w:t xml:space="preserve">). Ou seja: mesmo com a Sunrun sob estresse e a SunPower falindo, a lógica financeira do modelo (reduzir a barreira de capital do cliente) permanece estruturalmente sólida — a falha foi de execução de operadores específicos, não da categoria.</w:t>
      </w:r>
    </w:p>
    <w:p>
      <w:pPr>
        <w:pStyle w:val="Heading2"/>
        <w:spacing w:after="100" w:before="260"/>
      </w:pPr>
      <w:r>
        <w:rPr>
          <w:b/>
          <w:bCs/>
          <w:color w:val="4B238D"/>
          <w:sz w:val="22"/>
          <w:szCs w:val="22"/>
        </w:rPr>
        <w:t xml:space="preserve">Ganho do cliente</w:t>
      </w:r>
    </w:p>
    <w:p>
      <w:pPr>
        <w:spacing w:after="160" w:line="300"/>
      </w:pPr>
      <w:r>
        <w:rPr>
          <w:b/>
          <w:bCs/>
          <w:color w:val="2A005D"/>
          <w:sz w:val="21"/>
          <w:szCs w:val="21"/>
        </w:rPr>
        <w:t xml:space="preserve">US$0 de entrada</w:t>
      </w:r>
      <w:r>
        <w:rPr>
          <w:color w:val="222222"/>
          <w:sz w:val="21"/>
          <w:szCs w:val="21"/>
        </w:rPr>
        <w:t xml:space="preserve">; conta de energia potencialmente mais previsível/menor que a tarifa da concessionária (a alegação nacional específica de "economize até 20%" foi recomendada para descontinuação pelo National Advertising Division dos EUA por falta de sustentação, embora alegações mais genéricas de economia tenham sido mantidas como válidas — vale registrar essa nuance); zero responsabilidade por manutenção/reparo; monitoramento remoto incluído.</w:t>
      </w:r>
    </w:p>
    <w:p>
      <w:pPr>
        <w:pStyle w:val="Heading2"/>
        <w:spacing w:after="100" w:before="260"/>
      </w:pPr>
      <w:r>
        <w:rPr>
          <w:b/>
          <w:bCs/>
          <w:color w:val="4B238D"/>
          <w:sz w:val="22"/>
          <w:szCs w:val="22"/>
        </w:rPr>
        <w:t xml:space="preserve">O que o cliente "leva"</w:t>
      </w:r>
    </w:p>
    <w:p>
      <w:pPr>
        <w:spacing w:after="160" w:line="300"/>
      </w:pPr>
      <w:r>
        <w:rPr>
          <w:color w:val="222222"/>
          <w:sz w:val="21"/>
          <w:szCs w:val="21"/>
        </w:rPr>
        <w:t xml:space="preserve">Diferente de uma compra financiada (em que o cliente é dono desde o dia 1), no TPO o morador </w:t>
      </w:r>
      <w:r>
        <w:rPr>
          <w:b/>
          <w:bCs/>
          <w:color w:val="2A005D"/>
          <w:sz w:val="21"/>
          <w:szCs w:val="21"/>
        </w:rPr>
        <w:t xml:space="preserve">nunca é proprietário dos painéis</w:t>
      </w:r>
      <w:r>
        <w:rPr>
          <w:color w:val="222222"/>
          <w:sz w:val="21"/>
          <w:szCs w:val="21"/>
        </w:rPr>
        <w:t xml:space="preserve"> — ele "leva" eletricidade (um fluxo de serviço), não um ativo. Não acumula valor patrimonial no sistema (exceto pela opção de compra residual barata ao fim do contrato); está, na prática, comprando um serviço de fornecimento de energia local.</w:t>
      </w:r>
    </w:p>
    <w:p>
      <w:pPr>
        <w:pStyle w:val="Heading2"/>
        <w:spacing w:after="100" w:before="260"/>
      </w:pPr>
      <w:r>
        <w:rPr>
          <w:b/>
          <w:bCs/>
          <w:color w:val="4B238D"/>
          <w:sz w:val="22"/>
          <w:szCs w:val="22"/>
        </w:rPr>
        <w:t xml:space="preserve">Vantagens e desvantagens</w:t>
      </w:r>
    </w:p>
    <w:p>
      <w:pPr>
        <w:spacing w:after="160" w:line="300"/>
      </w:pPr>
      <w:r>
        <w:rPr>
          <w:b/>
          <w:bCs/>
          <w:color w:val="2A005D"/>
          <w:sz w:val="21"/>
          <w:szCs w:val="21"/>
        </w:rPr>
        <w:t xml:space="preserve">Cliente — a favor:</w:t>
      </w:r>
      <w:r>
        <w:rPr>
          <w:color w:val="222222"/>
          <w:sz w:val="21"/>
          <w:szCs w:val="21"/>
        </w:rPr>
        <w:t xml:space="preserve"> acesso sem barreira de capital, previsibilidade, zero risco de manutenção. </w:t>
      </w:r>
      <w:r>
        <w:rPr>
          <w:b/>
          <w:bCs/>
          <w:color w:val="2A005D"/>
          <w:sz w:val="21"/>
          <w:szCs w:val="21"/>
        </w:rPr>
        <w:t xml:space="preserve">Cliente — contra:</w:t>
      </w:r>
      <w:r>
        <w:rPr>
          <w:color w:val="222222"/>
          <w:sz w:val="21"/>
          <w:szCs w:val="21"/>
        </w:rPr>
        <w:t xml:space="preserve"> complicação real na venda do imóvel (62% dos casos com problema de qualificação do comprador); não recebe diretamente o ITC nem a depreciação — ficam com a Sunrun/investidor; ao longo de 25 anos, o custo total tende a ser </w:t>
      </w:r>
      <w:r>
        <w:rPr>
          <w:b/>
          <w:bCs/>
          <w:color w:val="2A005D"/>
          <w:sz w:val="21"/>
          <w:szCs w:val="21"/>
        </w:rPr>
        <w:t xml:space="preserve">maior</w:t>
      </w:r>
      <w:r>
        <w:rPr>
          <w:color w:val="222222"/>
          <w:sz w:val="21"/>
          <w:szCs w:val="21"/>
        </w:rPr>
        <w:t xml:space="preserve"> que comprar à vista ou financiado, porque a tarifa embute margem de serviço, financiamento e retorno ao investidor de tax equity; reajustes contratuais de preço (escalators) já geraram processos de consumidores alegando pagamento de "mais de US$100 mil" além do combinado. </w:t>
      </w:r>
      <w:r>
        <w:rPr>
          <w:b/>
          <w:bCs/>
          <w:color w:val="2A005D"/>
          <w:sz w:val="21"/>
          <w:szCs w:val="21"/>
        </w:rPr>
        <w:t xml:space="preserve">Sunrun — a favor:</w:t>
      </w:r>
      <w:r>
        <w:rPr>
          <w:color w:val="222222"/>
          <w:sz w:val="21"/>
          <w:szCs w:val="21"/>
        </w:rPr>
        <w:t xml:space="preserve"> cresce receita recorrente sem financiar 100% do CAPEX com capital próprio, recicla capital via ABS. </w:t>
      </w:r>
      <w:r>
        <w:rPr>
          <w:b/>
          <w:bCs/>
          <w:color w:val="2A005D"/>
          <w:sz w:val="21"/>
          <w:szCs w:val="21"/>
        </w:rPr>
        <w:t xml:space="preserve">Sunrun — contra:</w:t>
      </w:r>
      <w:r>
        <w:rPr>
          <w:color w:val="222222"/>
          <w:sz w:val="21"/>
          <w:szCs w:val="21"/>
        </w:rPr>
        <w:t xml:space="preserve"> exposição estrutural a juros, dependência de apetite dos parceiros de tax equity, necessidade de dívida não-recorrente robusta, risco de crédito/execução em milhões de contratos de longuíssimo prazo.</w:t>
      </w:r>
    </w:p>
    <w:p>
      <w:pPr>
        <w:pStyle w:val="Heading2"/>
        <w:spacing w:after="100" w:before="260"/>
      </w:pPr>
      <w:r>
        <w:rPr>
          <w:b/>
          <w:bCs/>
          <w:color w:val="4B238D"/>
          <w:sz w:val="22"/>
          <w:szCs w:val="22"/>
        </w:rPr>
        <w:t xml:space="preserve">Mecânica financeira (resumo do mecanismo)</w:t>
      </w:r>
    </w:p>
    <w:p>
      <w:pPr>
        <w:spacing w:after="160" w:line="300"/>
      </w:pPr>
      <w:r>
        <w:rPr>
          <w:color w:val="222222"/>
          <w:sz w:val="21"/>
          <w:szCs w:val="21"/>
        </w:rPr>
        <w:t xml:space="preserve">1. Fundos de tax equity com parceiros institucionais financiam a maior parte do CAPEX. 2. O investidor recebe os benefícios fiscais (ITC + depreciação MACRS) e parte dos fluxos de caixa, em estruturas de "partnership flip" típicas do setor. 3. A Sunrun mantém o cliente e os fluxos de caixa de longo prazo remanescentes. 4. A Sunrun securitiza parte da carteira via ABS, vendida a investidores de mercado de capitais (renda fixa, seguradoras), reciclando capital para novas instalações. Esse desenho — capital de terceiros para o CAPEX inicial + monetização adicional via dívida estruturada + a empresa operacional ficando com margem e relacionamento — é o análogo mais direto do que a Moura precisaria desenhar para financiar ativos de bateria como serviço: um parceiro de capital assume parte do risco/retorno do ativo físico, enquanto a Moura mantém o cliente e pode reciclar capital emitindo dívida lastreada nos contratos. </w:t>
      </w:r>
      <w:r>
        <w:rPr>
          <w:b/>
          <w:bCs/>
          <w:color w:val="2A005D"/>
          <w:sz w:val="21"/>
          <w:szCs w:val="21"/>
        </w:rPr>
        <w:t xml:space="preserve">Lacuna sinalizada:</w:t>
      </w:r>
      <w:r>
        <w:rPr>
          <w:color w:val="222222"/>
          <w:sz w:val="21"/>
          <w:szCs w:val="21"/>
        </w:rPr>
        <w:t xml:space="preserve"> não foram encontrados valores/nomes específicos de transações individuais de tax equity com bancos nomeados.</w:t>
      </w:r>
    </w:p>
    <w:p>
      <w:pPr>
        <w:pStyle w:val="Heading2"/>
        <w:spacing w:after="100" w:before="260"/>
      </w:pPr>
      <w:r>
        <w:rPr>
          <w:b/>
          <w:bCs/>
          <w:color w:val="4B238D"/>
          <w:sz w:val="22"/>
          <w:szCs w:val="22"/>
        </w:rPr>
        <w:t xml:space="preserve">Como é vendido</w:t>
      </w:r>
    </w:p>
    <w:p>
      <w:pPr>
        <w:spacing w:after="160" w:line="300"/>
      </w:pPr>
      <w:r>
        <w:rPr>
          <w:color w:val="222222"/>
          <w:sz w:val="21"/>
          <w:szCs w:val="21"/>
        </w:rPr>
        <w:t xml:space="preserve">A Sunrun (que adquiriu a Vivint Solar em 2020 para reforçar sua "organização de vendas de classe mundial") opera historicamente com </w:t>
      </w:r>
      <w:r>
        <w:rPr>
          <w:b/>
          <w:bCs/>
          <w:color w:val="2A005D"/>
          <w:sz w:val="21"/>
          <w:szCs w:val="21"/>
        </w:rPr>
        <w:t xml:space="preserve">vendas porta a porta (door-to-door)</w:t>
      </w:r>
      <w:r>
        <w:rPr>
          <w:color w:val="222222"/>
          <w:sz w:val="21"/>
          <w:szCs w:val="21"/>
        </w:rPr>
        <w:t xml:space="preserve"> intensivas, com representantes treinados a apresentar o discurso "US$0 down" como gancho principal. </w:t>
      </w:r>
      <w:r>
        <w:rPr>
          <w:b/>
          <w:bCs/>
          <w:color w:val="2A005D"/>
          <w:sz w:val="21"/>
          <w:szCs w:val="21"/>
        </w:rPr>
        <w:t xml:space="preserve">Ponto de atenção honesto:</w:t>
      </w:r>
      <w:r>
        <w:rPr>
          <w:color w:val="222222"/>
          <w:sz w:val="21"/>
          <w:szCs w:val="21"/>
        </w:rPr>
        <w:t xml:space="preserve"> esse canal gerou problemas documentados e recorrentes — em julho de 2024, o Procurador-Geral de Connecticut processou a Sunrun por práticas de venda alegadamente enganosas (contratos assinados sem consentimento válido, representantes se passando por consumidores, sistemas não-funcionais instalados) (</w:t>
      </w:r>
      <w:hyperlink w:history="1" r:id="rId-qebskkpk7revmvolrpwk">
        <w:r>
          <w:rPr>
            <w:rStyle w:val="Hyperlink"/>
            <w:color w:val="1155CC"/>
            <w:sz w:val="19"/>
            <w:szCs w:val="19"/>
            <w:u w:val="single"/>
          </w:rPr>
          <w:t xml:space="preserve">Connecticut Public</w:t>
        </w:r>
      </w:hyperlink>
      <w:r>
        <w:rPr>
          <w:color w:val="222222"/>
          <w:sz w:val="21"/>
          <w:szCs w:val="21"/>
        </w:rPr>
        <w:t xml:space="preserve">); há também ações em Massachusetts sobre promessas verbais não sustentadas em contrato e taxas escondidas em letras miúdas — a própria Sunrun moveu mais de </w:t>
      </w:r>
      <w:r>
        <w:rPr>
          <w:b/>
          <w:bCs/>
          <w:color w:val="2A005D"/>
          <w:sz w:val="21"/>
          <w:szCs w:val="21"/>
        </w:rPr>
        <w:t xml:space="preserve">420 ações contra clientes</w:t>
      </w:r>
      <w:r>
        <w:rPr>
          <w:color w:val="222222"/>
          <w:sz w:val="21"/>
          <w:szCs w:val="21"/>
        </w:rPr>
        <w:t xml:space="preserve"> em Massachusetts desde 2023 para cobrança de contratos (</w:t>
      </w:r>
      <w:hyperlink w:history="1" r:id="rIdgj28uu8dcmnn26fphfku1">
        <w:r>
          <w:rPr>
            <w:rStyle w:val="Hyperlink"/>
            <w:color w:val="1155CC"/>
            <w:sz w:val="19"/>
            <w:szCs w:val="19"/>
            <w:u w:val="single"/>
          </w:rPr>
          <w:t xml:space="preserve">NCLC</w:t>
        </w:r>
      </w:hyperlink>
      <w:r>
        <w:rPr>
          <w:color w:val="222222"/>
          <w:sz w:val="21"/>
          <w:szCs w:val="21"/>
        </w:rPr>
        <w:t xml:space="preserve">). O modelo de vendas agressivas casa mal com produtos financeiros complexos de longuíssimo prazo vendidos a consumidor final — um risco que uma réplica B2B (Moura/operadoras) mitiga naturalmente por lidar com contrapartes corporativas mais sofisticadas, mas que vale registrar como lição sobre transparência contratual.</w:t>
      </w:r>
    </w:p>
    <w:p>
      <w:pPr>
        <w:spacing w:after="160" w:line="300"/>
      </w:pPr>
      <w:r>
        <w:rPr>
          <w:b/>
          <w:bCs/>
          <w:color w:val="2A005D"/>
          <w:sz w:val="21"/>
          <w:szCs w:val="21"/>
        </w:rPr>
        <w:t xml:space="preserve">Fontes:</w:t>
      </w:r>
      <w:r>
        <w:rPr>
          <w:color w:val="222222"/>
          <w:sz w:val="21"/>
          <w:szCs w:val="21"/>
        </w:rPr>
        <w:t xml:space="preserve"> </w:t>
      </w:r>
      <w:hyperlink w:history="1" r:id="rIdsxdfqqlbdl7sj0qk8ahab">
        <w:r>
          <w:rPr>
            <w:rStyle w:val="Hyperlink"/>
            <w:color w:val="1155CC"/>
            <w:sz w:val="19"/>
            <w:szCs w:val="19"/>
            <w:u w:val="single"/>
          </w:rPr>
          <w:t xml:space="preserve">Sunrun — TPO Definition</w:t>
        </w:r>
      </w:hyperlink>
      <w:r>
        <w:rPr>
          <w:color w:val="222222"/>
          <w:sz w:val="21"/>
          <w:szCs w:val="21"/>
        </w:rPr>
        <w:t xml:space="preserve"> · </w:t>
      </w:r>
      <w:hyperlink w:history="1" r:id="rIdgunfgixahdu9yfkqc4qau">
        <w:r>
          <w:rPr>
            <w:rStyle w:val="Hyperlink"/>
            <w:color w:val="1155CC"/>
            <w:sz w:val="19"/>
            <w:szCs w:val="19"/>
            <w:u w:val="single"/>
          </w:rPr>
          <w:t xml:space="preserve">EnergySage — Sunrun TPO review</w:t>
        </w:r>
      </w:hyperlink>
      <w:r>
        <w:rPr>
          <w:color w:val="222222"/>
          <w:sz w:val="21"/>
          <w:szCs w:val="21"/>
        </w:rPr>
        <w:t xml:space="preserve"> · </w:t>
      </w:r>
      <w:hyperlink w:history="1" r:id="rIdpt35db-cjf9mekr6kgcpr">
        <w:r>
          <w:rPr>
            <w:rStyle w:val="Hyperlink"/>
            <w:color w:val="1155CC"/>
            <w:sz w:val="19"/>
            <w:szCs w:val="19"/>
            <w:u w:val="single"/>
          </w:rPr>
          <w:t xml:space="preserve">Sunrun 10-K FY2024, SEC</w:t>
        </w:r>
      </w:hyperlink>
      <w:r>
        <w:rPr>
          <w:color w:val="222222"/>
          <w:sz w:val="21"/>
          <w:szCs w:val="21"/>
        </w:rPr>
        <w:t xml:space="preserve"> · </w:t>
      </w:r>
      <w:hyperlink w:history="1" r:id="rIdvvau9bo7o5qgnwjwwzdha">
        <w:r>
          <w:rPr>
            <w:rStyle w:val="Hyperlink"/>
            <w:color w:val="1155CC"/>
            <w:sz w:val="19"/>
            <w:szCs w:val="19"/>
            <w:u w:val="single"/>
          </w:rPr>
          <w:t xml:space="preserve">SolarTechOnline — Tax Equity Guide</w:t>
        </w:r>
      </w:hyperlink>
      <w:r>
        <w:rPr>
          <w:color w:val="222222"/>
          <w:sz w:val="21"/>
          <w:szCs w:val="21"/>
        </w:rPr>
        <w:t xml:space="preserve"> · </w:t>
      </w:r>
      <w:hyperlink w:history="1" r:id="rId39gdkzw1inmbhw1zvbaed">
        <w:r>
          <w:rPr>
            <w:rStyle w:val="Hyperlink"/>
            <w:color w:val="1155CC"/>
            <w:sz w:val="19"/>
            <w:szCs w:val="19"/>
            <w:u w:val="single"/>
          </w:rPr>
          <w:t xml:space="preserve">SolarReviews — SunPower Bankruptcy</w:t>
        </w:r>
      </w:hyperlink>
      <w:r>
        <w:rPr>
          <w:color w:val="222222"/>
          <w:sz w:val="21"/>
          <w:szCs w:val="21"/>
        </w:rPr>
        <w:t xml:space="preserve"> · </w:t>
      </w:r>
      <w:hyperlink w:history="1" r:id="rIdvgoamuows9o8x9dsb1uxb">
        <w:r>
          <w:rPr>
            <w:rStyle w:val="Hyperlink"/>
            <w:color w:val="1155CC"/>
            <w:sz w:val="19"/>
            <w:szCs w:val="19"/>
            <w:u w:val="single"/>
          </w:rPr>
          <w:t xml:space="preserve">Solar.com — venda de imóvel com solar</w:t>
        </w:r>
      </w:hyperlink>
      <w:r>
        <w:rPr>
          <w:color w:val="222222"/>
          <w:sz w:val="21"/>
          <w:szCs w:val="21"/>
        </w:rPr>
        <w:t xml:space="preserve"> · </w:t>
      </w:r>
      <w:hyperlink w:history="1" r:id="rIdwjputtji2_ocwq5i6ge6v">
        <w:r>
          <w:rPr>
            <w:rStyle w:val="Hyperlink"/>
            <w:color w:val="1155CC"/>
            <w:sz w:val="19"/>
            <w:szCs w:val="19"/>
            <w:u w:val="single"/>
          </w:rPr>
          <w:t xml:space="preserve">Asset Securitization Report — ABS</w:t>
        </w:r>
      </w:hyperlink>
      <w:r>
        <w:rPr>
          <w:color w:val="222222"/>
          <w:sz w:val="21"/>
          <w:szCs w:val="21"/>
        </w:rPr>
        <w:t xml:space="preserve"> · </w:t>
      </w:r>
      <w:hyperlink w:history="1" r:id="rIdcl6jju4qgd7bmuwxhkslm">
        <w:r>
          <w:rPr>
            <w:rStyle w:val="Hyperlink"/>
            <w:color w:val="1155CC"/>
            <w:sz w:val="19"/>
            <w:szCs w:val="19"/>
            <w:u w:val="single"/>
          </w:rPr>
          <w:t xml:space="preserve">Wood Mackenzie — TPO 72% C&amp;I</w:t>
        </w:r>
      </w:hyperlink>
      <w:r>
        <w:rPr>
          <w:color w:val="222222"/>
          <w:sz w:val="21"/>
          <w:szCs w:val="21"/>
        </w:rPr>
        <w:t xml:space="preserve"> · </w:t>
      </w:r>
      <w:hyperlink w:history="1" r:id="rIdtp5-omq5vgw9slm9scws9">
        <w:r>
          <w:rPr>
            <w:rStyle w:val="Hyperlink"/>
            <w:color w:val="1155CC"/>
            <w:sz w:val="19"/>
            <w:szCs w:val="19"/>
            <w:u w:val="single"/>
          </w:rPr>
          <w:t xml:space="preserve">Connecticut Public — processo AG</w:t>
        </w:r>
      </w:hyperlink>
      <w:r>
        <w:rPr>
          <w:color w:val="222222"/>
          <w:sz w:val="21"/>
          <w:szCs w:val="21"/>
        </w:rPr>
        <w:t xml:space="preserve"> · </w:t>
      </w:r>
      <w:hyperlink w:history="1" r:id="rIdhpu9a7gfjvni8ot2ywtgc">
        <w:r>
          <w:rPr>
            <w:rStyle w:val="Hyperlink"/>
            <w:color w:val="1155CC"/>
            <w:sz w:val="19"/>
            <w:szCs w:val="19"/>
            <w:u w:val="single"/>
          </w:rPr>
          <w:t xml:space="preserve">NCLC — Lara Complaint</w:t>
        </w:r>
      </w:hyperlink>
    </w:p>
    <w:p>
      <w:r>
        <w:br w:type="page"/>
      </w:r>
    </w:p>
    <w:p>
      <w:pPr>
        <w:pStyle w:val="Heading1"/>
        <w:pBdr>
          <w:bottom w:val="single" w:color="4B238D" w:sz="6" w:space="4"/>
        </w:pBdr>
        <w:spacing w:after="160" w:before="380"/>
      </w:pPr>
      <w:r>
        <w:rPr>
          <w:b/>
          <w:bCs/>
          <w:color w:val="2A005D"/>
          <w:sz w:val="28"/>
          <w:szCs w:val="28"/>
        </w:rPr>
        <w:t xml:space="preserve">Síntese — o que cada case ensina de mais específico para a Moura</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rPr>
          <w:tblHeader/>
        </w:trPr>
        <w:tc>
          <w:tcPr>
            <w:tcW w:type="dxa" w:w="4300"/>
            <w:shd w:fill="2A005D" w:val="clear"/>
            <w:tcMar>
              <w:top w:type="dxa" w:w="100"/>
              <w:left w:type="dxa" w:w="120"/>
              <w:bottom w:type="dxa" w:w="100"/>
              <w:right w:type="dxa" w:w="120"/>
            </w:tcMar>
          </w:tcPr>
          <w:p>
            <w:r>
              <w:rPr>
                <w:b/>
                <w:bCs/>
                <w:color w:val="FFFFFF"/>
                <w:sz w:val="18"/>
                <w:szCs w:val="18"/>
              </w:rPr>
              <w:t xml:space="preserve">Case</w:t>
            </w:r>
          </w:p>
        </w:tc>
        <w:tc>
          <w:tcPr>
            <w:tcW w:type="dxa" w:w="4300"/>
            <w:shd w:fill="2A005D" w:val="clear"/>
            <w:tcMar>
              <w:top w:type="dxa" w:w="100"/>
              <w:left w:type="dxa" w:w="120"/>
              <w:bottom w:type="dxa" w:w="100"/>
              <w:right w:type="dxa" w:w="120"/>
            </w:tcMar>
          </w:tcPr>
          <w:p>
            <w:r>
              <w:rPr>
                <w:b/>
                <w:bCs/>
                <w:color w:val="FFFFFF"/>
                <w:sz w:val="18"/>
                <w:szCs w:val="18"/>
              </w:rPr>
              <w:t xml:space="preserve">Lição mais transferível</w:t>
            </w:r>
          </w:p>
        </w:tc>
      </w:tr>
    </w:tbl>
    <w:p>
      <w:pPr>
        <w:spacing w:after="200"/>
      </w:pPr>
    </w:p>
    <w:p>
      <w:pPr>
        <w:spacing w:after="160" w:line="300"/>
      </w:pPr>
      <w:r>
        <w:rPr>
          <w:color w:val="222222"/>
          <w:sz w:val="21"/>
          <w:szCs w:val="21"/>
        </w:rPr>
        <w:t xml:space="preserv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rPr>
          <w:tblHeader/>
        </w:trPr>
        <w:tc>
          <w:tcPr>
            <w:tcW w:type="dxa" w:w="4300"/>
            <w:shd w:fill="2A005D" w:val="clear"/>
            <w:tcMar>
              <w:top w:type="dxa" w:w="100"/>
              <w:left w:type="dxa" w:w="120"/>
              <w:bottom w:type="dxa" w:w="100"/>
              <w:right w:type="dxa" w:w="120"/>
            </w:tcMar>
          </w:tcPr>
          <w:p>
            <w:r>
              <w:rPr>
                <w:b/>
                <w:bCs/>
                <w:color w:val="FFFFFF"/>
                <w:sz w:val="18"/>
                <w:szCs w:val="18"/>
              </w:rPr>
              <w:t xml:space="preserve">Xerox/HP</w:t>
            </w:r>
          </w:p>
        </w:tc>
        <w:tc>
          <w:tcPr>
            <w:tcW w:type="dxa" w:w="4300"/>
            <w:shd w:fill="2A005D" w:val="clear"/>
            <w:tcMar>
              <w:top w:type="dxa" w:w="100"/>
              <w:left w:type="dxa" w:w="120"/>
              <w:bottom w:type="dxa" w:w="100"/>
              <w:right w:type="dxa" w:w="120"/>
            </w:tcMar>
          </w:tcPr>
          <w:p>
            <w:r>
              <w:rPr>
                <w:b/>
                <w:bCs/>
                <w:color w:val="FFFFFF"/>
                <w:sz w:val="18"/>
                <w:szCs w:val="18"/>
              </w:rPr>
              <w:t xml:space="preserve">Comunicar economia com números auditáveis; cuidado com lock-in agressivo gerando risco reputacional/jurídico</w:t>
            </w:r>
          </w:p>
        </w:tc>
      </w:tr>
      <w:tr>
        <w:trPr>
          <w:tblHeader w:val="false"/>
        </w:trPr>
        <w:tc>
          <w:tcPr>
            <w:tcW w:type="dxa" w:w="4300"/>
            <w:tcMar>
              <w:top w:type="dxa" w:w="100"/>
              <w:left w:type="dxa" w:w="120"/>
              <w:bottom w:type="dxa" w:w="100"/>
              <w:right w:type="dxa" w:w="120"/>
            </w:tcMar>
          </w:tcPr>
          <w:p>
            <w:r>
              <w:rPr>
                <w:color w:val="222222"/>
                <w:sz w:val="18"/>
                <w:szCs w:val="18"/>
              </w:rPr>
              <w:t xml:space="preserve">Kaeser</w:t>
            </w:r>
          </w:p>
        </w:tc>
        <w:tc>
          <w:tcPr>
            <w:tcW w:type="dxa" w:w="4300"/>
            <w:tcMar>
              <w:top w:type="dxa" w:w="100"/>
              <w:left w:type="dxa" w:w="120"/>
              <w:bottom w:type="dxa" w:w="100"/>
              <w:right w:type="dxa" w:w="120"/>
            </w:tcMar>
          </w:tcPr>
          <w:p>
            <w:r>
              <w:rPr>
                <w:color w:val="222222"/>
                <w:sz w:val="18"/>
                <w:szCs w:val="18"/>
              </w:rPr>
              <w:t xml:space="preserve">Inverter o incentivo de eficiência: se a Moura "pagar a conta de energia/manutenção" embutida na tarifa, ela lucra ao ser mais eficiente — mecanismo replicável</w:t>
            </w:r>
          </w:p>
        </w:tc>
      </w:tr>
      <w:tr>
        <w:trPr>
          <w:tblHeader w:val="false"/>
        </w:trPr>
        <w:tc>
          <w:tcPr>
            <w:tcW w:type="dxa" w:w="4300"/>
            <w:tcMar>
              <w:top w:type="dxa" w:w="100"/>
              <w:left w:type="dxa" w:w="120"/>
              <w:bottom w:type="dxa" w:w="100"/>
              <w:right w:type="dxa" w:w="120"/>
            </w:tcMar>
          </w:tcPr>
          <w:p>
            <w:r>
              <w:rPr>
                <w:color w:val="222222"/>
                <w:sz w:val="18"/>
                <w:szCs w:val="18"/>
              </w:rPr>
              <w:t xml:space="preserve">Signify</w:t>
            </w:r>
          </w:p>
        </w:tc>
        <w:tc>
          <w:tcPr>
            <w:tcW w:type="dxa" w:w="4300"/>
            <w:tcMar>
              <w:top w:type="dxa" w:w="100"/>
              <w:left w:type="dxa" w:w="120"/>
              <w:bottom w:type="dxa" w:w="100"/>
              <w:right w:type="dxa" w:w="120"/>
            </w:tcMar>
          </w:tcPr>
          <w:p>
            <w:r>
              <w:rPr>
                <w:color w:val="222222"/>
                <w:sz w:val="18"/>
                <w:szCs w:val="18"/>
              </w:rPr>
              <w:t xml:space="preserve">Contratos de performance de longuíssimo prazo com clientes institucionais geram disputas de faturamento reais — negociar SLA/KPI com cuidado jurídico desde o início</w:t>
            </w:r>
          </w:p>
        </w:tc>
      </w:tr>
      <w:tr>
        <w:trPr>
          <w:tblHeader w:val="false"/>
        </w:trPr>
        <w:tc>
          <w:tcPr>
            <w:tcW w:type="dxa" w:w="4300"/>
            <w:tcMar>
              <w:top w:type="dxa" w:w="100"/>
              <w:left w:type="dxa" w:w="120"/>
              <w:bottom w:type="dxa" w:w="100"/>
              <w:right w:type="dxa" w:w="120"/>
            </w:tcMar>
          </w:tcPr>
          <w:p>
            <w:r>
              <w:rPr>
                <w:color w:val="222222"/>
                <w:sz w:val="18"/>
                <w:szCs w:val="18"/>
              </w:rPr>
              <w:t xml:space="preserve">Rolls-Royce</w:t>
            </w:r>
          </w:p>
        </w:tc>
        <w:tc>
          <w:tcPr>
            <w:tcW w:type="dxa" w:w="4300"/>
            <w:tcMar>
              <w:top w:type="dxa" w:w="100"/>
              <w:left w:type="dxa" w:w="120"/>
              <w:bottom w:type="dxa" w:w="100"/>
              <w:right w:type="dxa" w:w="120"/>
            </w:tcMar>
          </w:tcPr>
          <w:p>
            <w:r>
              <w:rPr>
                <w:color w:val="222222"/>
                <w:sz w:val="18"/>
                <w:szCs w:val="18"/>
              </w:rPr>
              <w:t xml:space="preserve">O aviso mais importante da lista: em modelo outcome-based, se a engenharia falhar, quem paga é quem vendeu o resultado — a Moura precisa de dados de confiabilidade robustos antes de precificar por disponibilidade</w:t>
            </w:r>
          </w:p>
        </w:tc>
      </w:tr>
      <w:tr>
        <w:trPr>
          <w:tblHeader w:val="false"/>
        </w:trPr>
        <w:tc>
          <w:tcPr>
            <w:tcW w:type="dxa" w:w="4300"/>
            <w:tcMar>
              <w:top w:type="dxa" w:w="100"/>
              <w:left w:type="dxa" w:w="120"/>
              <w:bottom w:type="dxa" w:w="100"/>
              <w:right w:type="dxa" w:w="120"/>
            </w:tcMar>
          </w:tcPr>
          <w:p>
            <w:r>
              <w:rPr>
                <w:color w:val="222222"/>
                <w:sz w:val="18"/>
                <w:szCs w:val="18"/>
              </w:rPr>
              <w:t xml:space="preserve">Michelin</w:t>
            </w:r>
          </w:p>
        </w:tc>
        <w:tc>
          <w:tcPr>
            <w:tcW w:type="dxa" w:w="4300"/>
            <w:tcMar>
              <w:top w:type="dxa" w:w="100"/>
              <w:left w:type="dxa" w:w="120"/>
              <w:bottom w:type="dxa" w:w="100"/>
              <w:right w:type="dxa" w:w="120"/>
            </w:tcMar>
          </w:tcPr>
          <w:p>
            <w:r>
              <w:rPr>
                <w:color w:val="222222"/>
                <w:sz w:val="18"/>
                <w:szCs w:val="18"/>
              </w:rPr>
              <w:t xml:space="preserve">A transição não é linear — 3 anos sem lucro no lançamento, conflito real entre força de vendas tradicional e nova equipe de serviço; vale planejar essa fricção interna, não só a externa</w:t>
            </w:r>
          </w:p>
        </w:tc>
      </w:tr>
      <w:tr>
        <w:trPr>
          <w:tblHeader w:val="false"/>
        </w:trPr>
        <w:tc>
          <w:tcPr>
            <w:tcW w:type="dxa" w:w="4300"/>
            <w:tcMar>
              <w:top w:type="dxa" w:w="100"/>
              <w:left w:type="dxa" w:w="120"/>
              <w:bottom w:type="dxa" w:w="100"/>
              <w:right w:type="dxa" w:w="120"/>
            </w:tcMar>
          </w:tcPr>
          <w:p>
            <w:r>
              <w:rPr>
                <w:color w:val="222222"/>
                <w:sz w:val="18"/>
                <w:szCs w:val="18"/>
              </w:rPr>
              <w:t xml:space="preserve">Aggreko</w:t>
            </w:r>
          </w:p>
        </w:tc>
        <w:tc>
          <w:tcPr>
            <w:tcW w:type="dxa" w:w="4300"/>
            <w:tcMar>
              <w:top w:type="dxa" w:w="100"/>
              <w:left w:type="dxa" w:w="120"/>
              <w:bottom w:type="dxa" w:w="100"/>
              <w:right w:type="dxa" w:w="120"/>
            </w:tcMar>
          </w:tcPr>
          <w:p>
            <w:r>
              <w:rPr>
                <w:color w:val="222222"/>
                <w:sz w:val="18"/>
                <w:szCs w:val="18"/>
              </w:rPr>
              <w:t xml:space="preserve">Referência contratual mais direta (mesmo setor); mas também mostra que aluguel/serviço nem sempre vence economicamente ownership em uso de longuíssimo prazo — o argumento de venda precisa ser mais que só "sem CAPEX"</w:t>
            </w:r>
          </w:p>
        </w:tc>
      </w:tr>
      <w:tr>
        <w:trPr>
          <w:tblHeader w:val="false"/>
        </w:trPr>
        <w:tc>
          <w:tcPr>
            <w:tcW w:type="dxa" w:w="4300"/>
            <w:tcMar>
              <w:top w:type="dxa" w:w="100"/>
              <w:left w:type="dxa" w:w="120"/>
              <w:bottom w:type="dxa" w:w="100"/>
              <w:right w:type="dxa" w:w="120"/>
            </w:tcMar>
          </w:tcPr>
          <w:p>
            <w:r>
              <w:rPr>
                <w:color w:val="222222"/>
                <w:sz w:val="18"/>
                <w:szCs w:val="18"/>
              </w:rPr>
              <w:t xml:space="preserve">Sunrun</w:t>
            </w:r>
          </w:p>
        </w:tc>
        <w:tc>
          <w:tcPr>
            <w:tcW w:type="dxa" w:w="4300"/>
            <w:tcMar>
              <w:top w:type="dxa" w:w="100"/>
              <w:left w:type="dxa" w:w="120"/>
              <w:bottom w:type="dxa" w:w="100"/>
              <w:right w:type="dxa" w:w="120"/>
            </w:tcMar>
          </w:tcPr>
          <w:p>
            <w:r>
              <w:rPr>
                <w:color w:val="222222"/>
                <w:sz w:val="18"/>
                <w:szCs w:val="18"/>
              </w:rPr>
              <w:t xml:space="preserve">O mecanismo de financiamento (parceiro de capital assume o ativo contra benefício fiscal/retorno, empresa operacional mantém cliente e pode securitizar carteira) é o mais aplicável ao gargalo de CAPEX da Moura citado pelo Time Financeiro e por Gustavo Moura — mas com o alerta claro de que é um modelo sensível a juros</w:t>
            </w:r>
          </w:p>
        </w:tc>
      </w:tr>
    </w:tbl>
    <w:p>
      <w:pPr>
        <w:spacing w:after="200"/>
      </w:pPr>
    </w:p>
    <w:p>
      <w:pPr>
        <w:spacing w:after="240"/>
      </w:pPr>
      <w:r>
        <w:rPr>
          <w:i/>
          <w:iCs/>
          <w:color w:val="555555"/>
          <w:sz w:val="19"/>
          <w:szCs w:val="19"/>
        </w:rPr>
        <w:t xml:space="preserve">Pesquisa realizada em 24/07/2026 via WebSearch/WebFetch, priorizando fontes acadêmicas (HBS, IMD, Harvard D3, Wharton), relatórios de investidores/SEC filings, decisões judiciais e imprensa especializada. Onde a pesquisa não encontrou dado sólido e verificável, isso está sinalizado explicitamente no texto em vez de inventado.</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yc2itezorf8w-zwiwudg" Type="http://schemas.openxmlformats.org/officeDocument/2006/relationships/hyperlink" Target="https://www.strategyzer.com/library/xerox-business-model" TargetMode="External"/><Relationship Id="rIdyc6gfeouidigtd1nxv8vj" Type="http://schemas.openxmlformats.org/officeDocument/2006/relationships/hyperlink" Target="https://www.1000ventures.com/business_guide/cs_revenue_model_xerox.html" TargetMode="External"/><Relationship Id="rIdqtjbv8fuymfmnvxwldci_" Type="http://schemas.openxmlformats.org/officeDocument/2006/relationships/hyperlink" Target="https://www.morningstar.com/company-reports/1203576-xerox-remains-a-firm-in-perpetual-decline-as-printing-revenue-dries-up-amid-digitization" TargetMode="External"/><Relationship Id="rIdgd0ur8r1ltamjz4lqtatq" Type="http://schemas.openxmlformats.org/officeDocument/2006/relationships/hyperlink" Target="https://www.rkblack.com/what-is-managed-print/" TargetMode="External"/><Relationship Id="rIdkkx_i-w2iggkeuy5cmtux" Type="http://schemas.openxmlformats.org/officeDocument/2006/relationships/hyperlink" Target="https://www.xerox.com/downloads/supplies/Automatic_Supplies_Replenishment_FAQ_Enduser_EN.pdf" TargetMode="External"/><Relationship Id="rIdvs4z6xwig11hypk9udbi7" Type="http://schemas.openxmlformats.org/officeDocument/2006/relationships/hyperlink" Target="https://www.xerox.com/en-us/services/managed-print-services/insights/managed-print-advantages" TargetMode="External"/><Relationship Id="rIdqe0s_ajfux2pgaq9fnxdy" Type="http://schemas.openxmlformats.org/officeDocument/2006/relationships/hyperlink" Target="https://www.cds-yes.com/blog-post/managed-print-services-cost-pricing-guide" TargetMode="External"/><Relationship Id="rIdmlf_mht85c6zyogq5ssba" Type="http://schemas.openxmlformats.org/officeDocument/2006/relationships/hyperlink" Target="https://www.sec.gov/Archives/edgar/data/0000108772/000119312507161130/dex991.htm" TargetMode="External"/><Relationship Id="rIdjvntlzpim_klvp5wulbak" Type="http://schemas.openxmlformats.org/officeDocument/2006/relationships/hyperlink" Target="https://www.sec.gov/Archives/edgar/data/0000108772/000010877215000019/ex991-xrx630158xker.htm" TargetMode="External"/><Relationship Id="rIdkntzv3xmjp2gonjvwhgnm" Type="http://schemas.openxmlformats.org/officeDocument/2006/relationships/hyperlink" Target="https://www.theregister.com/2023/12/04/hp_printer_lockin/" TargetMode="External"/><Relationship Id="rId9roc_9hehsispgakhoil2" Type="http://schemas.openxmlformats.org/officeDocument/2006/relationships/hyperlink" Target="https://www.morningstar.com/company-reports/1203576-xerox-remains-a-firm-in-perpetual-decline-as-printing-revenue-dries-up-amid-digitization" TargetMode="External"/><Relationship Id="rIdgzex6faxwvwcrmruuehut" Type="http://schemas.openxmlformats.org/officeDocument/2006/relationships/hyperlink" Target="https://www.xerox.com/en-us/services/managed-print-services/insights/managed-print-advantages" TargetMode="External"/><Relationship Id="rIdefuppgk9ril0yyjcrjdff" Type="http://schemas.openxmlformats.org/officeDocument/2006/relationships/hyperlink" Target="https://www.xerox.com/en-us/services/city-of-new-york-case-study" TargetMode="External"/><Relationship Id="rIdp19semkyr-wzioozqhmav" Type="http://schemas.openxmlformats.org/officeDocument/2006/relationships/hyperlink" Target="https://www.ge.com/news/press-releases/ge-xerox-agree-8-year-financing-arrangement-new-xerox-us-customer-leases-be-funded" TargetMode="External"/><Relationship Id="rIdboxvnzkud26naf0y8tpl_" Type="http://schemas.openxmlformats.org/officeDocument/2006/relationships/hyperlink" Target="https://www.techradar.com/pro/hp-is-being-sued-again-over-blocking-third-party-ink" TargetMode="External"/><Relationship Id="rId0s1h_hefasigpy_akig8r" Type="http://schemas.openxmlformats.org/officeDocument/2006/relationships/hyperlink" Target="https://www.emerald.com/ijopm/article/41/5/517/148636/Explaining-the-servitization-paradox-a" TargetMode="External"/><Relationship Id="rId3m1cm7dqfj9yc8e0jgt--" Type="http://schemas.openxmlformats.org/officeDocument/2006/relationships/hyperlink" Target="https://www.ge.com/news/press-releases/ge-xerox-agree-8-year-financing-arrangement-new-xerox-us-customer-leases-be-funded" TargetMode="External"/><Relationship Id="rIdhz55h7dmco5g6fvx9kqo4" Type="http://schemas.openxmlformats.org/officeDocument/2006/relationships/hyperlink" Target="https://www.feedough.com/razor-and-blades-business-model-explained/" TargetMode="External"/><Relationship Id="rIdvpxdvozjq-qcrn61d158m" Type="http://schemas.openxmlformats.org/officeDocument/2006/relationships/hyperlink" Target="https://www.rtmworld.com/features/xeroxs-channel-reinvention-can-it-overcome-its-hardware-legacy/" TargetMode="External"/><Relationship Id="rIdvrosvhzs0yg34lbrdi5c_" Type="http://schemas.openxmlformats.org/officeDocument/2006/relationships/hyperlink" Target="https://www.glassdoor.com/Reviews/Xerox-sales-training-Reviews-EI_IE747.0,5_KH6,20.htm" TargetMode="External"/><Relationship Id="rId_twilirv0o0-xw67ishfa" Type="http://schemas.openxmlformats.org/officeDocument/2006/relationships/hyperlink" Target="https://www.hbs.edu/faculty/Pages/item.aspx?num=15888" TargetMode="External"/><Relationship Id="rIdla6w_tpw8oxzxkvjt8rxh" Type="http://schemas.openxmlformats.org/officeDocument/2006/relationships/hyperlink" Target="https://www.strategyzer.com/library/xerox-business-model" TargetMode="External"/><Relationship Id="rIdwlbkngmulzienvmr_3dck" Type="http://schemas.openxmlformats.org/officeDocument/2006/relationships/hyperlink" Target="https://www.morningstar.com/company-reports/1203576-xerox-remains-a-firm-in-perpetual-decline-as-printing-revenue-dries-up-amid-digitization" TargetMode="External"/><Relationship Id="rId_hhimjsunpj1v2xsvxfzz" Type="http://schemas.openxmlformats.org/officeDocument/2006/relationships/hyperlink" Target="https://www.xerox.com/en-us/services/managed-print-services/insights/managed-print-advantages" TargetMode="External"/><Relationship Id="rId3xtljxvdoafgbvutaq8ff" Type="http://schemas.openxmlformats.org/officeDocument/2006/relationships/hyperlink" Target="https://www.theregister.com/2023/12/04/hp_printer_lockin/" TargetMode="External"/><Relationship Id="rId3jbjzuygc4vbbq6krcuc4" Type="http://schemas.openxmlformats.org/officeDocument/2006/relationships/hyperlink" Target="https://www.xerox.com/en-us/services/city-of-new-york-case-study" TargetMode="External"/><Relationship Id="rIdasqwwbcdqden7kljed7tv" Type="http://schemas.openxmlformats.org/officeDocument/2006/relationships/hyperlink" Target="https://www.ge.com/news/press-releases/ge-xerox-agree-8-year-financing-arrangement-new-xerox-us-customer-leases-be-funded" TargetMode="External"/><Relationship Id="rIdxqiqj8hjtsqyt26i80x0c" Type="http://schemas.openxmlformats.org/officeDocument/2006/relationships/hyperlink" Target="https://www.feedough.com/razor-and-blades-business-model-explained/" TargetMode="External"/><Relationship Id="rIdqommsmog40vqme_c6xoz_" Type="http://schemas.openxmlformats.org/officeDocument/2006/relationships/hyperlink" Target="https://www.emerald.com/ijopm/article/41/5/517/148636/Explaining-the-servitization-paradox-a" TargetMode="External"/><Relationship Id="rId7pclfwiuo8li1mhnhcl53" Type="http://schemas.openxmlformats.org/officeDocument/2006/relationships/hyperlink" Target="https://www.rtmworld.com/features/xeroxs-channel-reinvention-can-it-overcome-its-hardware-legacy/" TargetMode="External"/><Relationship Id="rIdeymdenp_tlknvvt3frn8b" Type="http://schemas.openxmlformats.org/officeDocument/2006/relationships/hyperlink" Target="https://www.sec.gov/Archives/edgar/data/0000108772/000010877215000019/ex991-xrx630158xker.htm" TargetMode="External"/><Relationship Id="rIdxdkbe7ozhdcwwaf7zfxoa" Type="http://schemas.openxmlformats.org/officeDocument/2006/relationships/hyperlink" Target="https://de.wikipedia.org/wiki/Kaeser_Kompressoren" TargetMode="External"/><Relationship Id="rIdj2dxzcxlfcaol1xoihv7q" Type="http://schemas.openxmlformats.org/officeDocument/2006/relationships/hyperlink" Target="https://ideas.repec.org/h/spr/mgmchp/978-3-319-95273-4_6.html" TargetMode="External"/><Relationship Id="rIdtfdikfe-iissniiibtaae" Type="http://schemas.openxmlformats.org/officeDocument/2006/relationships/hyperlink" Target="https://www.hpccompressors.co.uk/solutions/sigma-air-utility-pay-per-m/" TargetMode="External"/><Relationship Id="rId613d1wg7azp8pmtviw3eu" Type="http://schemas.openxmlformats.org/officeDocument/2006/relationships/hyperlink" Target="https://diginomica.com/sap-teched-2018-how-kaeser-kompressoren-is-selling-compressed-air-as-a-service-with-the-help-of-sap-data-hub" TargetMode="External"/><Relationship Id="rId8ixctkzvg4_qywpnfcoy8" Type="http://schemas.openxmlformats.org/officeDocument/2006/relationships/hyperlink" Target="https://www.cmswire.com/customer-experience/the-service-metrics-trap-why-chasing-utilization-is-costing-you-the-customer/" TargetMode="External"/><Relationship Id="rIdkuyhgei2o_zzenwyu_4db" Type="http://schemas.openxmlformats.org/officeDocument/2006/relationships/hyperlink" Target="https://us.kaeser.com/compressed-air-resources/references/success-stories/compressed-air-contracting-for-basf.aspx" TargetMode="External"/><Relationship Id="rIdfuxbr_wox1_yfuylqwere" Type="http://schemas.openxmlformats.org/officeDocument/2006/relationships/hyperlink" Target="https://us.kaeser.com/compressed-air-resources/references/success-stories/compressed-air-contracting-for-the-metal-processing-industry.aspx" TargetMode="External"/><Relationship Id="rIdndt1r7ou9ezoknaigsnc4" Type="http://schemas.openxmlformats.org/officeDocument/2006/relationships/hyperlink" Target="https://us.kaeser.com/compressed-air-resources/references/success-stories/metal-products-plant.aspx" TargetMode="External"/><Relationship Id="rIdjwbu0recriewvawwowuon" Type="http://schemas.openxmlformats.org/officeDocument/2006/relationships/hyperlink" Target="https://www.produktion.de/trends-innovationen/guenstiger-als-kompressor-contracting-fuer-druckluft-109.html" TargetMode="External"/><Relationship Id="rIdmfvekashyp2apc_qb4sp5" Type="http://schemas.openxmlformats.org/officeDocument/2006/relationships/hyperlink" Target="https://www.frontiersin.org/journals/psychology/articles/10.3389/fpsyg.2022.901732/full" TargetMode="External"/><Relationship Id="rIdkpdvyzehgca1xsb9fbpnz" Type="http://schemas.openxmlformats.org/officeDocument/2006/relationships/hyperlink" Target="https://us.kaeser.com/compressed-air-resources/kaeser-talks-shop/compresed-air-as-utility.aspx" TargetMode="External"/><Relationship Id="rIdrf6lxfv5xqipwxmlkow3f" Type="http://schemas.openxmlformats.org/officeDocument/2006/relationships/hyperlink" Target="https://www.hpccompressors.co.uk/solutions/sigma-air-utility-pay-per-m/" TargetMode="External"/><Relationship Id="rIdnmgte1b40tcvwhhhrtbzl" Type="http://schemas.openxmlformats.org/officeDocument/2006/relationships/hyperlink" Target="https://us.kaeser.com/compressed-air-resources/references/success-stories/compressed-air-contracting-for-basf.aspx" TargetMode="External"/><Relationship Id="rIdsj4qz2ctsflgdj8x7gg_s" Type="http://schemas.openxmlformats.org/officeDocument/2006/relationships/hyperlink" Target="https://diginomica.com/sap-teched-2018-how-kaeser-kompressoren-is-selling-compressed-air-as-a-service-with-the-help-of-sap-data-hub" TargetMode="External"/><Relationship Id="rId7pbxjnrhiygzksnhypweb" Type="http://schemas.openxmlformats.org/officeDocument/2006/relationships/hyperlink" Target="https://us.kaeser.com/compressed-air-resources/kaeser-talks-shop/compresed-air-as-utility.aspx" TargetMode="External"/><Relationship Id="rId10mr55wkejeorr92mdqtv" Type="http://schemas.openxmlformats.org/officeDocument/2006/relationships/hyperlink" Target="https://www.cmswire.com/customer-experience/the-service-metrics-trap-why-chasing-utilization-is-costing-you-the-customer/" TargetMode="External"/><Relationship Id="rIdtggmojfqbtvxfohie6zy1" Type="http://schemas.openxmlformats.org/officeDocument/2006/relationships/hyperlink" Target="https://www.frontiersin.org/journals/psychology/articles/10.3389/fpsyg.2022.901732/full" TargetMode="External"/><Relationship Id="rId5zqmjd9oo5tbvbvemsklv" Type="http://schemas.openxmlformats.org/officeDocument/2006/relationships/hyperlink" Target="https://ideas.repec.org/h/spr/mgmchp/978-3-319-95273-4_6.html" TargetMode="External"/><Relationship Id="rIdnzwd0bpqgb6rfxhqiu7r8" Type="http://schemas.openxmlformats.org/officeDocument/2006/relationships/hyperlink" Target="https://www.forbes.com/sites/bigbangdisruption/2015/03/31/how-philips-thrived-in-lightings-big-crunch/" TargetMode="External"/><Relationship Id="rIdd8_wngkawycwonq-c33rs" Type="http://schemas.openxmlformats.org/officeDocument/2006/relationships/hyperlink" Target="https://atlasofthefuture.org/project/pay-per-lux/" TargetMode="External"/><Relationship Id="rIdzustlic6zwsd8bo-pwj2n" Type="http://schemas.openxmlformats.org/officeDocument/2006/relationships/hyperlink" Target="https://www.signify.com/global/our-company/news/press-release-archive/2015/20150416-philips-provides-light-as-a-service-to-schiphol-airport" TargetMode="External"/><Relationship Id="rIdbpvuijfc8tfjeqz6epj8h" Type="http://schemas.openxmlformats.org/officeDocument/2006/relationships/hyperlink" Target="https://circle-lab.com/node/3801" TargetMode="External"/><Relationship Id="rIdh3mmt5u5gsxstic-p_tu0" Type="http://schemas.openxmlformats.org/officeDocument/2006/relationships/hyperlink" Target="https://finance.yahoo.com/news/signify-reports-full-2025-sales-060000177.html" TargetMode="External"/><Relationship Id="rIdallaa0pcwsdqzqzmhoh1c" Type="http://schemas.openxmlformats.org/officeDocument/2006/relationships/hyperlink" Target="https://www.signify.com/en-us/our-company/news/press-release-archive/2013/20131112-philips-wmata" TargetMode="External"/><Relationship Id="rIdh1qlhiyvqxvlmemzpfuiy" Type="http://schemas.openxmlformats.org/officeDocument/2006/relationships/hyperlink" Target="https://news.bloomberglaw.com/federal-contracting/d-c-metro-owes-philips-10-7-million-in-garage-light-dispute" TargetMode="External"/><Relationship Id="rIdmg0kdaxp_onagwsyksx0l" Type="http://schemas.openxmlformats.org/officeDocument/2006/relationships/hyperlink" Target="https://www.hbs.edu/faculty/Pages/item.aspx?num=55346" TargetMode="External"/><Relationship Id="rIdk108xesl4d6uvik8klvpa" Type="http://schemas.openxmlformats.org/officeDocument/2006/relationships/hyperlink" Target="https://www.ellenmacarthurfoundation.org/case-studies/selling-light-as-a-service" TargetMode="External"/><Relationship Id="rIdhi2wyp_moo2dfjm1ohpjc" Type="http://schemas.openxmlformats.org/officeDocument/2006/relationships/hyperlink" Target="https://www.signify.com/global/our-company/news/press-release-archive/2015/20150416-philips-provides-light-as-a-service-to-schiphol-airport" TargetMode="External"/><Relationship Id="rIdopz_lflmmstja9cyqhcbb" Type="http://schemas.openxmlformats.org/officeDocument/2006/relationships/hyperlink" Target="https://www.signify.com/en-us/our-company/news/press-release-archive/2013/20131112-philips-wmata" TargetMode="External"/><Relationship Id="rId53cnuc7gy-j-t9mdjc2jc" Type="http://schemas.openxmlformats.org/officeDocument/2006/relationships/hyperlink" Target="https://news.bloomberglaw.com/federal-contracting/d-c-metro-owes-philips-10-7-million-in-garage-light-dispute" TargetMode="External"/><Relationship Id="rIdeljuflq0hyvmpe9utw5kb" Type="http://schemas.openxmlformats.org/officeDocument/2006/relationships/hyperlink" Target="https://www.forbes.com/sites/bigbangdisruption/2015/03/31/how-philips-thrived-in-lightings-big-crunch/" TargetMode="External"/><Relationship Id="rIdq_egr3k6wygunirijb5yh" Type="http://schemas.openxmlformats.org/officeDocument/2006/relationships/hyperlink" Target="https://www.hbs.edu/faculty/Pages/item.aspx?num=55346" TargetMode="External"/><Relationship Id="rId4_wi3gub9z6_ya5ignyyt" Type="http://schemas.openxmlformats.org/officeDocument/2006/relationships/hyperlink" Target="https://www.signify.com/global/our-company/news/press-releases/2026/20260130-signify-fourth-quarter-and-full-year-results-2025" TargetMode="External"/><Relationship Id="rIduazfy1gjo_6datebkgawx" Type="http://schemas.openxmlformats.org/officeDocument/2006/relationships/hyperlink" Target="https://www.signify.com/global/signify-services/managed-services/light-as-a-service" TargetMode="External"/><Relationship Id="rId181ubbsdjsausxzqakv9q" Type="http://schemas.openxmlformats.org/officeDocument/2006/relationships/hyperlink" Target="https://www.aerosociety.com/news/aftermarket-revolution/" TargetMode="External"/><Relationship Id="rIdokzj-nznref_xeapxegru" Type="http://schemas.openxmlformats.org/officeDocument/2006/relationships/hyperlink" Target="https://mrobusinesstoday.com/power-by-the-hour/" TargetMode="External"/><Relationship Id="rIdwbb-coyht83jgajsupq5b" Type="http://schemas.openxmlformats.org/officeDocument/2006/relationships/hyperlink" Target="https://www.rolls-royce.com/products-and-services/civil-aerospace/services/ehm.aspx" TargetMode="External"/><Relationship Id="rIdftoanwo3ttoj9cwi9wehv" Type="http://schemas.openxmlformats.org/officeDocument/2006/relationships/hyperlink" Target="https://www.rolls-royce.com/media/press-releases/2025/27-02-2025-rr-holdings-plc-2024-full-year-results.aspx" TargetMode="External"/><Relationship Id="rIdcelgalqtszeimlfgojgpw" Type="http://schemas.openxmlformats.org/officeDocument/2006/relationships/hyperlink" Target="https://www.rolls-royce.com/~/media/Files/R/Rolls-Royce/documents/investors/time-on-wing-webinar.pdf" TargetMode="External"/><Relationship Id="rIdw9ko65segvgfnxcj9olgt" Type="http://schemas.openxmlformats.org/officeDocument/2006/relationships/hyperlink" Target="https://simpleflying.com/air-new-zealand-ends-rolls-royce-trent-1000-nightmare-last-boeing-787-9-exits-storage/" TargetMode="External"/><Relationship Id="rId0froasajrlakqr6fecrmf" Type="http://schemas.openxmlformats.org/officeDocument/2006/relationships/hyperlink" Target="https://www.ainonline.com/aviation-news/air-transport/2018-10-25/norwegian-sees-trent-1000-troubles-lasting-until-february" TargetMode="External"/><Relationship Id="rIdi-4-f9juzwgmuicwqivgp" Type="http://schemas.openxmlformats.org/officeDocument/2006/relationships/hyperlink" Target="https://www.proactiveinvestors.co.uk/companies/news/906502/rolls-royce-s-trent-1000-costs-rise-to-24bn-after-new-delay-906502.html" TargetMode="External"/><Relationship Id="rIdtkp9nbrpofc5o7ppjizod" Type="http://schemas.openxmlformats.org/officeDocument/2006/relationships/hyperlink" Target="https://www.accountancydaily.co/rolls-royce-reveals-adopting-ifrs-15-would-have-cost-ps900m" TargetMode="External"/><Relationship Id="rIdazx2gqlddmp3zsyfdmapf" Type="http://schemas.openxmlformats.org/officeDocument/2006/relationships/hyperlink" Target="https://www.flightglobal.com/engines/rolls-royce-provisions-for-loss-making-trent-1000-ten-contracts/136992.article" TargetMode="External"/><Relationship Id="rIdfreouajl-cam6dkdkg68m" Type="http://schemas.openxmlformats.org/officeDocument/2006/relationships/hyperlink" Target="https://www.rolls-royce.com/media/our-stories/discover/2017/totalcare.aspx" TargetMode="External"/><Relationship Id="rIdld8lebv1y1qn7quj1vqsl" Type="http://schemas.openxmlformats.org/officeDocument/2006/relationships/hyperlink" Target="https://www.aerosociety.com/news/aftermarket-revolution/" TargetMode="External"/><Relationship Id="rIdymz8vkk2fqg5l9c-g6oog" Type="http://schemas.openxmlformats.org/officeDocument/2006/relationships/hyperlink" Target="https://www.flightglobal.com/analysis-the-evolution-of-rolls-royces-mro-strategy/119402.article" TargetMode="External"/><Relationship Id="rIdcxh0trnmcob9joyvial6x" Type="http://schemas.openxmlformats.org/officeDocument/2006/relationships/hyperlink" Target="https://simpleflying.com/how-customers-benefit-from-rolls-royces-totalcare-engine-coverage-program/" TargetMode="External"/><Relationship Id="rIdseuktscy-w2l3ybcfh245" Type="http://schemas.openxmlformats.org/officeDocument/2006/relationships/hyperlink" Target="https://www.rolls-royce.com/media/press-releases/2025/27-02-2025-rr-holdings-plc-2024-full-year-results.aspx" TargetMode="External"/><Relationship Id="rIdasjybeveogx57bfyvj-oa" Type="http://schemas.openxmlformats.org/officeDocument/2006/relationships/hyperlink" Target="https://www.proactiveinvestors.co.uk/companies/news/906502/rolls-royce-s-trent-1000-costs-rise-to-24bn-after-new-delay-906502.html" TargetMode="External"/><Relationship Id="rIdml3e_pdhy2xdpeuo5-vln" Type="http://schemas.openxmlformats.org/officeDocument/2006/relationships/hyperlink" Target="https://www.accountancydaily.co/rolls-royce-reveals-adopting-ifrs-15-would-have-cost-ps900m" TargetMode="External"/><Relationship Id="rIdpdfejnsjmsl80xjzs6t7n" Type="http://schemas.openxmlformats.org/officeDocument/2006/relationships/hyperlink" Target="https://www.morganlewis.com/pubs/2024/01/a-practical-guide-to-aircraft-engine-rpfh-agreements" TargetMode="External"/><Relationship Id="rId9frgvktqtgeq_qu9fubwy" Type="http://schemas.openxmlformats.org/officeDocument/2006/relationships/hyperlink" Target="https://www.microsoft.com/en/customers/story/23201-rolls-royce-azure-databricks" TargetMode="External"/><Relationship Id="rId9j-d6y1-ziibyts-6dezb" Type="http://schemas.openxmlformats.org/officeDocument/2006/relationships/hyperlink" Target="https://www.imd.org/research-knowledge/strategy/case-studies/michelin-digital-transformation-and-culture-where-the-rubber-hits-the-road/" TargetMode="External"/><Relationship Id="rIdrymf8kvoat37klk7pxynv" Type="http://schemas.openxmlformats.org/officeDocument/2006/relationships/hyperlink" Target="https://d3.harvard.edu/platform-rctom/submission/michelin-tires-as-a-service/" TargetMode="External"/><Relationship Id="rIdfvlbqt-takbcmzumsgwtj" Type="http://schemas.openxmlformats.org/officeDocument/2006/relationships/hyperlink" Target="https://www.imd.org/research-knowledge/marketing/case-studies/business-model-innovation-michelin-fleet-solutions-from-selling-tires-to-selling-kilometers/" TargetMode="External"/><Relationship Id="rIdskdft_nfzh2odwkxiila6" Type="http://schemas.openxmlformats.org/officeDocument/2006/relationships/hyperlink" Target="https://business.michelinman.com/freight-transportation/freight-transportation-services/michelin-fleet-solutions" TargetMode="External"/><Relationship Id="rId-dyqphrxdgmlqxe2y1fvk" Type="http://schemas.openxmlformats.org/officeDocument/2006/relationships/hyperlink" Target="https://www.motorindiaonline.in/commercial-vehicles/effifuel-from-michelin-solutions-delivers-fuel-savings/" TargetMode="External"/><Relationship Id="rIdmqwbtaizofemycdklstrw" Type="http://schemas.openxmlformats.org/officeDocument/2006/relationships/hyperlink" Target="https://d3.harvard.edu/platform-rctom/submission/michelin-tires-as-a-service/" TargetMode="External"/><Relationship Id="rIdkvk92zb_naueitpdgctq-" Type="http://schemas.openxmlformats.org/officeDocument/2006/relationships/hyperlink" Target="https://www.imd.org/research-knowledge/marketing/case-studies/business-model-innovation-michelin-fleet-solutions-from-selling-tires-to-selling-kilometers/" TargetMode="External"/><Relationship Id="rIdg7hfbstdfymrab-hmypk0" Type="http://schemas.openxmlformats.org/officeDocument/2006/relationships/hyperlink" Target="https://d3.harvard.edu/platform-rctom/submission/michelin-tires-as-a-service/" TargetMode="External"/><Relationship Id="rIdbedlrsg3b3gxqmmyr3lps" Type="http://schemas.openxmlformats.org/officeDocument/2006/relationships/hyperlink" Target="https://www.hbs.edu/faculty/Pages/item.aspx?num=57839" TargetMode="External"/><Relationship Id="rIdrovo4z_n9h2ud2u73ahgl" Type="http://schemas.openxmlformats.org/officeDocument/2006/relationships/hyperlink" Target="https://www.imd.org/research-knowledge/marketing/case-studies/business-model-innovation-michelin-fleet-solutions-from-selling-tires-to-selling-kilometers/" TargetMode="External"/><Relationship Id="rId20ovneknwadml_duwgq1-" Type="http://schemas.openxmlformats.org/officeDocument/2006/relationships/hyperlink" Target="https://www.imd.org/research-knowledge/strategy/case-studies/michelin-digital-transformation-and-culture-where-the-rubber-hits-the-road/" TargetMode="External"/><Relationship Id="rIdpmlyee0mlrrwg4t83vnqk" Type="http://schemas.openxmlformats.org/officeDocument/2006/relationships/hyperlink" Target="https://www.hbs.edu/faculty/Pages/item.aspx?num=57839" TargetMode="External"/><Relationship Id="rIdwxw-sk5g_j9xu5xz3lsk4" Type="http://schemas.openxmlformats.org/officeDocument/2006/relationships/hyperlink" Target="https://d3.harvard.edu/platform-rctom/submission/michelin-tires-as-a-service/" TargetMode="External"/><Relationship Id="rIdklzsabbzu6ydxpfcx-gie" Type="http://schemas.openxmlformats.org/officeDocument/2006/relationships/hyperlink" Target="https://business.michelinman.com/freight-transportation/freight-transportation-services/michelin-fleet-solutions" TargetMode="External"/><Relationship Id="rIdhrof0rpzfrz5mge5uns2q" Type="http://schemas.openxmlformats.org/officeDocument/2006/relationships/hyperlink" Target="https://news.cision.com/michelin-truck/r/michelin-solutions-launches-effifuel-tm----a-commitment-to-helping-truck-fleets-save-fuel,c9441230" TargetMode="External"/><Relationship Id="rIde0tdevofzunvca2bndjdb" Type="http://schemas.openxmlformats.org/officeDocument/2006/relationships/hyperlink" Target="https://news.michelin.co.uk/articles/michelin-presents-its-all-sustainable-strategy-for-2030" TargetMode="External"/><Relationship Id="rIdi-azh97nirrgjcrxpfqq0" Type="http://schemas.openxmlformats.org/officeDocument/2006/relationships/hyperlink" Target="https://www.fundinguniverse.com/company-histories/aggreko-plc-history/" TargetMode="External"/><Relationship Id="rIds33ufek2xixh7yws76kur" Type="http://schemas.openxmlformats.org/officeDocument/2006/relationships/hyperlink" Target="https://www.gsma.com/solutions-and-impact/connectivity-for-good/mobile-for-development/gsma_resources/the-global-telecom-tower-esco-market-overview-of-the-global-market-for-energy-to-telecom-towers-in-off-grid-and-bad-grid-areas/" TargetMode="External"/><Relationship Id="rIdldbfchkda4ghnfpmwm-51" Type="http://schemas.openxmlformats.org/officeDocument/2006/relationships/hyperlink" Target="https://www.aggreko.com/en-us/case-studies/data-centres/powering-the-largest-data-centre-in-nigeria" TargetMode="External"/><Relationship Id="rIdlsazmbfh7se0wnx_7ed6m" Type="http://schemas.openxmlformats.org/officeDocument/2006/relationships/hyperlink" Target="https://www.aggreko.com/en-mideast/sectors/mining/long-term-flexible-power" TargetMode="External"/><Relationship Id="rIdipo8ykqi4ysdf7qpshqq4" Type="http://schemas.openxmlformats.org/officeDocument/2006/relationships/hyperlink" Target="https://www.internationalrentalnews.com/news/five-things-we-learned-from-aggrekos-annual-report/8118832.article" TargetMode="External"/><Relationship Id="rIdm_qbzbz85wtth3-vbunll" Type="http://schemas.openxmlformats.org/officeDocument/2006/relationships/hyperlink" Target="https://generatorsource.com/generator-rentals/renting-vs-buying-a-generator/" TargetMode="External"/><Relationship Id="rId4pucwbyirbunbtpytp8w3" Type="http://schemas.openxmlformats.org/officeDocument/2006/relationships/hyperlink" Target="https://www.tdrcapital.com/tdr-capital-iv-acquires-aggreko-plc/" TargetMode="External"/><Relationship Id="rIdoogt1e7xna_iyjiyepypz" Type="http://schemas.openxmlformats.org/officeDocument/2006/relationships/hyperlink" Target="https://www.intemposoftware.com/blog/equipment-rental-metrics-time-dollar-utilization" TargetMode="External"/><Relationship Id="rIdvgxck_qfp-dq4yvit5q_n" Type="http://schemas.openxmlformats.org/officeDocument/2006/relationships/hyperlink" Target="https://careers.aggreko.com/af/en/jobs/jr15932-sector-sales-manager-oil-gas-africa" TargetMode="External"/><Relationship Id="rIdcdrwwzbqqvb8l6ddmvghi" Type="http://schemas.openxmlformats.org/officeDocument/2006/relationships/hyperlink" Target="https://www.aggreko.com/en-us/case-studies/data-centres/powering-the-largest-data-centre-in-nigeria" TargetMode="External"/><Relationship Id="rIdtm1wfhy3648m7rfb4nncv" Type="http://schemas.openxmlformats.org/officeDocument/2006/relationships/hyperlink" Target="https://www.aggreko.com/en-us/sectors/telecommunications" TargetMode="External"/><Relationship Id="rIdjldmrshigza5qtwfhwcup" Type="http://schemas.openxmlformats.org/officeDocument/2006/relationships/hyperlink" Target="https://www.gsma.com/solutions-and-impact/connectivity-for-good/mobile-for-development/gsma_resources/the-global-telecom-tower-esco-market-overview-of-the-global-market-for-energy-to-telecom-towers-in-off-grid-and-bad-grid-areas/" TargetMode="External"/><Relationship Id="rIdhgeghga1tv7d36divgwjc" Type="http://schemas.openxmlformats.org/officeDocument/2006/relationships/hyperlink" Target="https://www.internationalrentalnews.com/news/five-things-we-learned-from-aggrekos-annual-report/8118832.article" TargetMode="External"/><Relationship Id="rIdqrz_olwoyhgglxl9fw1z2" Type="http://schemas.openxmlformats.org/officeDocument/2006/relationships/hyperlink" Target="https://www.fundinguniverse.com/company-histories/aggreko-plc-history/" TargetMode="External"/><Relationship Id="rId2stehdjufd7atwodotggc" Type="http://schemas.openxmlformats.org/officeDocument/2006/relationships/hyperlink" Target="https://www.tdrcapital.com/tdr-capital-iv-acquires-aggreko-plc/" TargetMode="External"/><Relationship Id="rIda_ubxtnl03vmudkejuxbx" Type="http://schemas.openxmlformats.org/officeDocument/2006/relationships/hyperlink" Target="https://generatorsource.com/generator-rentals/renting-vs-buying-a-generator/" TargetMode="External"/><Relationship Id="rIdsj6no_e3wmm3t2jimhx29" Type="http://schemas.openxmlformats.org/officeDocument/2006/relationships/hyperlink" Target="https://solartechonline.com/blog/what-is-solar-lease-pros-and-cons/" TargetMode="External"/><Relationship Id="rIdxznmnkkwfxiqf9iz0z7ur" Type="http://schemas.openxmlformats.org/officeDocument/2006/relationships/hyperlink" Target="https://therealestateguylv.com/blog/solar-panel-transfer-problems-homeowners-selling/" TargetMode="External"/><Relationship Id="rId2ojmcdtsttk7ytvubuklg" Type="http://schemas.openxmlformats.org/officeDocument/2006/relationships/hyperlink" Target="https://www.sec.gov/Archives/edgar/data/1469367/000146936725000039/run-20241231.htm" TargetMode="External"/><Relationship Id="rIdvptgqwb6y_f0qlcgpvi_m" Type="http://schemas.openxmlformats.org/officeDocument/2006/relationships/hyperlink" Target="https://tradersunion.com/news/financial-news/show/1938310-sunrun-prometheus-2026-solar-notes-ratings/" TargetMode="External"/><Relationship Id="rIdiqfxj3-og3lfqmd1dz7pf" Type="http://schemas.openxmlformats.org/officeDocument/2006/relationships/hyperlink" Target="https://www.solarreviews.com/news/sunpower-bankruptcy-impacts" TargetMode="External"/><Relationship Id="rIdfqxxx8ipqjsxkpqjf-2sz" Type="http://schemas.openxmlformats.org/officeDocument/2006/relationships/hyperlink" Target="https://www.woodmac.com/news/opinion/us-residential-solar-turbulence-persisted-through-2024/" TargetMode="External"/><Relationship Id="rId-qebskkpk7revmvolrpwk" Type="http://schemas.openxmlformats.org/officeDocument/2006/relationships/hyperlink" Target="https://www.ctpublic.org/news/2024-07-19/ct-attorney-general-files-lawsuit-against-sunrun-alleging-deceptive-and-unlawful-sales-tactics" TargetMode="External"/><Relationship Id="rIdgj28uu8dcmnn26fphfku1" Type="http://schemas.openxmlformats.org/officeDocument/2006/relationships/hyperlink" Target="https://www.nclc.org/wp-content/uploads/2024/12/2024.12.10_Cases_Lara-Complaint.pdf" TargetMode="External"/><Relationship Id="rIdsxdfqqlbdl7sj0qk8ahab" Type="http://schemas.openxmlformats.org/officeDocument/2006/relationships/hyperlink" Target="https://www.sunrun.com/go-solar-center/solar-terms/definition/third-party-owner" TargetMode="External"/><Relationship Id="rIdgunfgixahdu9yfkqc4qau" Type="http://schemas.openxmlformats.org/officeDocument/2006/relationships/hyperlink" Target="https://www.energysage.com/solar/sunrun-tpo-review/" TargetMode="External"/><Relationship Id="rIdpt35db-cjf9mekr6kgcpr" Type="http://schemas.openxmlformats.org/officeDocument/2006/relationships/hyperlink" Target="https://www.sec.gov/Archives/edgar/data/1469367/000146936725000039/run-20241231.htm" TargetMode="External"/><Relationship Id="rIdvvau9bo7o5qgnwjwwzdha" Type="http://schemas.openxmlformats.org/officeDocument/2006/relationships/hyperlink" Target="https://solartechonline.com/blog/solar-tax-equity-financing-guide/" TargetMode="External"/><Relationship Id="rId39gdkzw1inmbhw1zvbaed" Type="http://schemas.openxmlformats.org/officeDocument/2006/relationships/hyperlink" Target="https://www.solarreviews.com/news/sunpower-bankruptcy-impacts" TargetMode="External"/><Relationship Id="rIdvgoamuows9o8x9dsb1uxb" Type="http://schemas.openxmlformats.org/officeDocument/2006/relationships/hyperlink" Target="https://www.solar.com/learn/selling-a-home-with-leased-solar-panels/" TargetMode="External"/><Relationship Id="rIdwjputtji2_ocwq5i6ge6v" Type="http://schemas.openxmlformats.org/officeDocument/2006/relationships/hyperlink" Target="https://asreport.americanbanker.com/news/sunrun-returns-to-securitization-with-204m-solar-deal" TargetMode="External"/><Relationship Id="rIdcl6jju4qgd7bmuwxhkslm" Type="http://schemas.openxmlformats.org/officeDocument/2006/relationships/hyperlink" Target="https://www.woodmac.com/press-releases/third-party-ownership-dominates-us-non-residential-solar-market-reaching-72-share-in-2024/" TargetMode="External"/><Relationship Id="rIdtp5-omq5vgw9slm9scws9" Type="http://schemas.openxmlformats.org/officeDocument/2006/relationships/hyperlink" Target="https://www.ctpublic.org/news/2024-07-19/ct-attorney-general-files-lawsuit-against-sunrun-alleging-deceptive-and-unlawful-sales-tactics" TargetMode="External"/><Relationship Id="rIdhpu9a7gfjvni8ot2ywtgc" Type="http://schemas.openxmlformats.org/officeDocument/2006/relationships/hyperlink" Target="https://www.nclc.org/wp-content/uploads/2024/12/2024.12.10_Cases_Lara-Complaint.pdf" TargetMode="External"/><Relationship Id="rId1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2026-07-24T17:43:09.053Z</dcterms:created>
  <dcterms:modified xsi:type="dcterms:W3CDTF">2026-07-24T17:43:09.053Z</dcterms:modified>
</cp:coreProperties>
</file>

<file path=docProps/custom.xml><?xml version="1.0" encoding="utf-8"?>
<Properties xmlns="http://schemas.openxmlformats.org/officeDocument/2006/custom-properties" xmlns:vt="http://schemas.openxmlformats.org/officeDocument/2006/docPropsVTypes"/>
</file>