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</w:pPr>
      <w:r>
        <w:rPr>
          <w:b/>
          <w:bCs/>
          <w:caps/>
          <w:color w:val="4B238D"/>
          <w:sz w:val="20"/>
          <w:szCs w:val="20"/>
        </w:rPr>
        <w:t xml:space="preserve">MOURA ENERGIA — ENERGIA COMO SERVIÇO</w:t>
      </w:r>
    </w:p>
    <w:p>
      <w:pPr>
        <w:spacing w:after="300"/>
      </w:pPr>
      <w:r>
        <w:rPr>
          <w:b/>
          <w:bCs/>
          <w:color w:val="2A005D"/>
          <w:sz w:val="46"/>
          <w:szCs w:val="46"/>
        </w:rPr>
        <w:t xml:space="preserve">Cases de Servitização</w:t>
      </w:r>
    </w:p>
    <w:p>
      <w:pPr>
        <w:spacing w:after="40"/>
      </w:pPr>
      <w:r>
        <w:rPr>
          <w:b w:val="false"/>
          <w:bCs w:val="false"/>
          <w:color w:val="4B238D"/>
          <w:sz w:val="26"/>
          <w:szCs w:val="26"/>
        </w:rPr>
        <w:t xml:space="preserve">Benchmark de inspiração para a Fase 2</w:t>
      </w:r>
    </w:p>
    <w:p>
      <w:pPr>
        <w:pBdr>
          <w:bottom w:val="single" w:color="1CB78D" w:sz="12" w:space="8"/>
        </w:pBdr>
        <w:spacing w:after="500"/>
      </w:pPr>
      <w:r>
        <w:rPr>
          <w:color w:val="555555"/>
          <w:sz w:val="19"/>
          <w:szCs w:val="19"/>
        </w:rPr>
        <w:t xml:space="preserve">Preparado por MJV Technology &amp; Innovation  ·  24 de julho de 2026</w:t>
      </w:r>
    </w:p>
    <w:p>
      <w:pPr>
        <w:spacing w:after="160" w:line="300"/>
      </w:pPr>
      <w:r>
        <w:rPr>
          <w:i/>
          <w:iCs/>
          <w:color w:val="555555"/>
          <w:sz w:val="20"/>
          <w:szCs w:val="20"/>
        </w:rPr>
        <w:t xml:space="preserve">Pesquisa em duas vertentes: (1) cases gerais de servitização de produtos de infraestrutura, e (2) cases que resolvem especificamente dores mapeadas na imersão interna (aba “Desafios” da planilha Moura_Telecom_Phase_1__Interviews). Todos os cases abaixo são reais e documentados publicamente — fontes ao final de cada um.</w:t>
      </w:r>
    </w:p>
    <w:p>
      <w:r>
        <w:br w:type="page"/>
      </w:r>
    </w:p>
    <w:p>
      <w:pPr>
        <w:pStyle w:val="Heading1"/>
        <w:pBdr>
          <w:bottom w:val="single" w:color="4B238D" w:sz="6" w:space="4"/>
        </w:pBdr>
        <w:spacing w:after="160" w:before="360"/>
      </w:pPr>
      <w:r>
        <w:rPr>
          <w:b/>
          <w:bCs/>
          <w:color w:val="2A005D"/>
          <w:sz w:val="30"/>
          <w:szCs w:val="30"/>
        </w:rPr>
        <w:t xml:space="preserve">Vertente 1 — Cases gerais de servitização de infraestrutura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padrão comum entre todos: o fornecedor deixa de vender o ativo físico e passa a vender o resultado que o ativo entrega (impressão feita, ar comprimido disponível, luz acesa, motor voando, pneu rodado, energia disponível) — o CAPEX migra para o fornecedor, que só é remunerado quando o resultado é entregue.</w:t>
      </w:r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1. Xerox / HP — Managed Print Services (“impressora como serviço”)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empresa não compra mais impressoras: paga por página impressa ou por um contrato de gestão completa (equipamento, manutenção, suprimentos, monitoramento). A Cidade de Nova York, por exemplo, reduziu custos em mais de 49% por agência ao adotar o modelo com a Xerox.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é o paralelo mais direto ao CAPEX→OPEX que vocês já propõem — vale como referência de como comunicar a economia de forma quantificada (redução %, não só “menos investimento”).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at7ipobnrne2bgubdiybp">
        <w:r>
          <w:rPr>
            <w:rStyle w:val="Hyperlink"/>
            <w:color w:val="1155CC"/>
            <w:sz w:val="19"/>
            <w:szCs w:val="19"/>
            <w:u w:val="single"/>
          </w:rPr>
          <w:t xml:space="preserve">Xerox — Managed Print Advantages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jscc8jcvkat26aamic_5w">
        <w:r>
          <w:rPr>
            <w:rStyle w:val="Hyperlink"/>
            <w:color w:val="1155CC"/>
            <w:sz w:val="19"/>
            <w:szCs w:val="19"/>
            <w:u w:val="single"/>
          </w:rPr>
          <w:t xml:space="preserve">City of New York Case Study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2. Kaeser Kompressoren — Sigma Air Utility (“ar comprimido como serviço”)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Em vez de vender compressores industriais, a Kaeser instala, opera e mantém o sistema de ar comprimido na planta do cliente, que paga só pelo ar efetivamente consumido — sem o ativo entrar no balanço patrimonial do cliente. A BASF Coatings, por exemplo, teve economia anual confirmada de ~€30 mil com o modelo.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é praticamente o mesmo mecanismo contratual que vocês propõem para energia de sites — “paga pelo que usa, ativo não entra no seu balanço” é um argumento contábil pronto, testado num setor industrial tradicional.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bc3znnduiv_dssqlipbps">
        <w:r>
          <w:rPr>
            <w:rStyle w:val="Hyperlink"/>
            <w:color w:val="1155CC"/>
            <w:sz w:val="19"/>
            <w:szCs w:val="19"/>
            <w:u w:val="single"/>
          </w:rPr>
          <w:t xml:space="preserve">Sigma Air Utility — operator model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duwkoguhwpbaych0utusi">
        <w:r>
          <w:rPr>
            <w:rStyle w:val="Hyperlink"/>
            <w:color w:val="1155CC"/>
            <w:sz w:val="19"/>
            <w:szCs w:val="19"/>
            <w:u w:val="single"/>
          </w:rPr>
          <w:t xml:space="preserve">Case BASF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3. Signify / Philips — “Pay-per-Lux” (iluminação como serviço)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Desde 2012, a Philips (hoje Signify) oferece iluminação completa — design, instalação, manutenção, upgrade de LED — cobrando por lux entregue, não pelas luminárias. O Aeroporto de Schiphol e o metrô de Washington DC foram early adopters; a gestão ativa do sistema pela Philips gerou redução adicional de 20% no consumo energético, além dos 35% já obtidos com LED.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mostra que o modelo “pague pelo resultado, não pelo equipamento” funciona até em infraestrutura pública/regulada de longuíssimo prazo — relevante para o argumento de que o modelo de serviço não é incompatível com o perfil conservador de uma operadora de telecom.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hu9qdl0w1ttwjzpxmcrzk">
        <w:r>
          <w:rPr>
            <w:rStyle w:val="Hyperlink"/>
            <w:color w:val="1155CC"/>
            <w:sz w:val="19"/>
            <w:szCs w:val="19"/>
            <w:u w:val="single"/>
          </w:rPr>
          <w:t xml:space="preserve">Ellen MacArthur Foundation — Selling Light as a Service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pkzqx_k3u99v9n3tcajrl">
        <w:r>
          <w:rPr>
            <w:rStyle w:val="Hyperlink"/>
            <w:color w:val="1155CC"/>
            <w:sz w:val="19"/>
            <w:szCs w:val="19"/>
            <w:u w:val="single"/>
          </w:rPr>
          <w:t xml:space="preserve">Circular X — Signify case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4. Rolls-Royce — “Power by the Hour” / TotalCare (motores de avião como serviço)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Desde 1962, a Rolls-Royce vende “horas de voo com motor funcionando” em vez de motores + manutenção separada. O modelo alinha o incentivo do fornecedor à confiabilidade: a Rolls-Royce só ganha mais quando o motor precisa de menos manutenção, e estendeu em ~25% o intervalo entre revisões dos motores cobertos.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é o benchmark clássico de “tolling”/pagamento por disponibilidade (uma das hipóteses do roteiro) — mostra como esse modelo pode virar vantagem de engenharia, não só financeira, quando o fornecedor é remunerado por uptime.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homk2c1tkmyv_c2eci3zc">
        <w:r>
          <w:rPr>
            <w:rStyle w:val="Hyperlink"/>
            <w:color w:val="1155CC"/>
            <w:sz w:val="19"/>
            <w:szCs w:val="19"/>
            <w:u w:val="single"/>
          </w:rPr>
          <w:t xml:space="preserve">Rolls-Royce TotalCare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rqamt79ajeaiymxvrbgre">
        <w:r>
          <w:rPr>
            <w:rStyle w:val="Hyperlink"/>
            <w:color w:val="1155CC"/>
            <w:sz w:val="19"/>
            <w:szCs w:val="19"/>
            <w:u w:val="single"/>
          </w:rPr>
          <w:t xml:space="preserve">Power-by-the-hour — ResearchGate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5. Michelin — Fleet Solutions (pneu como serviço, “pay-per-mile”)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Michelin passou de vender pneus para “vender quilômetros rodados”: o cliente paga por milha, e a Michelin cuida de toda a gestão do pneu (troca, recapagem, monitoramento de desgaste), com uma única fatura mensal previsível.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case de venda B2B (frotas), não B2C — útil como analogia de como estruturar a fatura única/previsível para a operadora, em vez de custo variável e imprevisível.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tubzx5ncoqvdnmdsclqks">
        <w:r>
          <w:rPr>
            <w:rStyle w:val="Hyperlink"/>
            <w:color w:val="1155CC"/>
            <w:sz w:val="19"/>
            <w:szCs w:val="19"/>
            <w:u w:val="single"/>
          </w:rPr>
          <w:t xml:space="preserve">Michelin Fleet Solutions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miooknm4hw_l15jjjpmgt">
        <w:r>
          <w:rPr>
            <w:rStyle w:val="Hyperlink"/>
            <w:color w:val="1155CC"/>
            <w:sz w:val="19"/>
            <w:szCs w:val="19"/>
            <w:u w:val="single"/>
          </w:rPr>
          <w:t xml:space="preserve">Selling tires to selling kilometers — GRIN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6. Aggreko — energia/geradores como serviço para telecom (o case mais próximo do negócio da Moura)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Aggreko aluga geradores, baterias e climatização para operadoras de telecom, cobrando mensalidade em vez de CAPEX — inclusive com módulos de bateria de 10–100 kVA junto dos geradores a diesel. Em um case documentado, a MTN Nigéria trocou geração própria (grid instável + diesel) por um contrato de fornecimento de energia com a Aggreko para reduzir custo e instabilidade no data center.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é literalmente o mesmo setor (telecom) e o mesmo tipo de ativo (energia de backup) — vale estudar a estrutura contratual da Aggreko com operadoras como referência direta, não só como analogia.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uknmmrcjzmsqv-dx2ortl">
        <w:r>
          <w:rPr>
            <w:rStyle w:val="Hyperlink"/>
            <w:color w:val="1155CC"/>
            <w:sz w:val="19"/>
            <w:szCs w:val="19"/>
            <w:u w:val="single"/>
          </w:rPr>
          <w:t xml:space="preserve">Aggreko — Telecommunications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gitm4uq5obwtr23ab2vd-">
        <w:r>
          <w:rPr>
            <w:rStyle w:val="Hyperlink"/>
            <w:color w:val="1155CC"/>
            <w:sz w:val="19"/>
            <w:szCs w:val="19"/>
            <w:u w:val="single"/>
          </w:rPr>
          <w:t xml:space="preserve">Case MTN Nigeria data center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7. Sunrun — Third-Party Ownership (energia solar residencial como serviço)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Sunrun é dona do sistema solar instalado na casa do cliente (via leasing ou PPA) e o cliente só paga pela energia consumida, sem custo inicial. A Sunrun se financia através de benefícios fiscais e depreciação do ativo, o que também paga o CAPEX da instalação.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Transferível para a Moura: </w:t>
      </w:r>
      <w:r>
        <w:rPr>
          <w:color w:val="222222"/>
          <w:sz w:val="21"/>
          <w:szCs w:val="21"/>
        </w:rPr>
        <w:t xml:space="preserve">mostra um mecanismo de financiamento do CAPEX (terceiros injetando capital contra o fluxo de receita recorrente) que pode ser relevante se a limitação de escala da Moura (aportar capital próprio para crescer) precisar de uma solução de funding, não só de modelo comercial.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55mlhdjnlbd1t-hdnnpy9">
        <w:r>
          <w:rPr>
            <w:rStyle w:val="Hyperlink"/>
            <w:color w:val="1155CC"/>
            <w:sz w:val="19"/>
            <w:szCs w:val="19"/>
            <w:u w:val="single"/>
          </w:rPr>
          <w:t xml:space="preserve">Sunrun — Third-Party Owner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tltun2k6nyyml6ebz_2r1">
        <w:r>
          <w:rPr>
            <w:rStyle w:val="Hyperlink"/>
            <w:color w:val="1155CC"/>
            <w:sz w:val="19"/>
            <w:szCs w:val="19"/>
            <w:u w:val="single"/>
          </w:rPr>
          <w:t xml:space="preserve">EnergySage — Sunrun TPO review</w:t>
        </w:r>
      </w:hyperlink>
    </w:p>
    <w:p>
      <w:r>
        <w:br w:type="page"/>
      </w:r>
    </w:p>
    <w:p>
      <w:pPr>
        <w:pStyle w:val="Heading1"/>
        <w:pBdr>
          <w:bottom w:val="single" w:color="4B238D" w:sz="6" w:space="4"/>
        </w:pBdr>
        <w:spacing w:after="160" w:before="360"/>
      </w:pPr>
      <w:r>
        <w:rPr>
          <w:b/>
          <w:bCs/>
          <w:color w:val="2A005D"/>
          <w:sz w:val="30"/>
          <w:szCs w:val="30"/>
        </w:rPr>
        <w:t xml:space="preserve">Vertente 2 — Cases que resolvem dores específicas da imersão interna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Organizado pela dor real identificada nas entrevistas internas (com a citação de origem).</w:t>
      </w:r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comercial “gagueja” para explicar tecnicamente o valor do serviço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(Thiago Mello: “a gente não consegue tangibilizar isso... gagueja pra um lado, gagueja pro outro”; Aline: “a gente nunca teve uma apresentação robusta”; Drielli: “é necessário um treinamento técnico muito imersivo”; Josiele: “eu não tenho um especialista nisso no time”)
Este é o ponto que você trouxe com a White Martins. Não encontrei um case público detalhado com métricas sobre a White Martins especificamente — o que encontrei confirma que a empresa mantém times de engenheiros especializados em aplicação dedicados a ajudar o cliente a escolher a solução tecnicamente certa, o que bate com sua observação. Essa figura — o “application engineer” ou “engenheiro de aplicação” embutido no time comercial — é uma prática consolidada em vendas B2B tecnicamente complexas (gases industriais, químicos especiais, equipamentos industriais): a pessoa não vende o produto, ela resolve o problema técnico do cliente junto com o vendedor, e a venda acontece como consequência.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O que sugiro adaptar: </w:t>
      </w:r>
      <w:r>
        <w:rPr>
          <w:color w:val="222222"/>
          <w:sz w:val="21"/>
          <w:szCs w:val="21"/>
        </w:rPr>
        <w:t xml:space="preserve">colocar um engenheiro (de Engenharia ou Operações, não um novo contratado) para acompanhar as reuniões comerciais mais complexas — endereça diretamente a “falta de tangibilização” citada por Thiago e Aline, sem precisar de um cargo novo.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ubzlf8rvf9bjgneujiliv">
        <w:r>
          <w:rPr>
            <w:rStyle w:val="Hyperlink"/>
            <w:color w:val="1155CC"/>
            <w:sz w:val="19"/>
            <w:szCs w:val="19"/>
            <w:u w:val="single"/>
          </w:rPr>
          <w:t xml:space="preserve">White Martins — produtos e serviços (confirma o modelo, sem case público com métricas)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CAPEX intensivo trava a velocidade de escalar o modelo de serviço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(Francisco: “requer um CAPEX muito alto para a gente poder acelerar”; Gustavo Moura: “se o cliente disser que quer 500, 600 [sites], a gente tem coragem... mais 60 milhões”; Time Financeiro: “a gente não vem conseguindo atribuir a mesma taxa de captação”)
O case da Sunrun (Vertente 1, item 7) é o mais direto: em vez de financiar 100% do CAPEX com capital próprio/acionista, o setor solar residencial resolveu esse mesmo gargalo trazendo investidores terceiros (tax equity, fundos) que compram o direito ao fluxo de receita recorrente do contrato, injetando capital contra esse fluxo. A Rolls-Royce, de forma parecida, financia parte da fabricação dos motores com a expectativa de receita recorrente do contrato TotalCare ao longo de décadas.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O que sugiro adaptar: </w:t>
      </w:r>
      <w:r>
        <w:rPr>
          <w:color w:val="222222"/>
          <w:sz w:val="21"/>
          <w:szCs w:val="21"/>
        </w:rPr>
        <w:t xml:space="preserve">avaliar se um fundo ou parceiro financeiro poderia comprar o direito ao fluxo de recebíveis dos contratos de serviço já assinados (uma espécie de “securitização” da carteira), liberando capital para novos contratos sem esperar o payback dos anteriores — endereça diretamente a limitação citada pelo Time Financeiro sobre taxas de captação piores.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hqyyw0nk8wgyvv3pcofia">
        <w:r>
          <w:rPr>
            <w:rStyle w:val="Hyperlink"/>
            <w:color w:val="1155CC"/>
            <w:sz w:val="19"/>
            <w:szCs w:val="19"/>
            <w:u w:val="single"/>
          </w:rPr>
          <w:t xml:space="preserve">Sunrun TPO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qfu7swwr-9pfeii9um1wt">
        <w:r>
          <w:rPr>
            <w:rStyle w:val="Hyperlink"/>
            <w:color w:val="1155CC"/>
            <w:sz w:val="19"/>
            <w:szCs w:val="19"/>
            <w:u w:val="single"/>
          </w:rPr>
          <w:t xml:space="preserve">Rolls-Royce TotalCare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furto/vandalismo de baterias e custo de reposição em campo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(Tarcísio: “cerca de 7% dos gabinetes foram vandalizados... 5% acima do ideal”; Yasmim: “os criminosos serram fisicamente a base do cadeado... a plataforma não emite alarme”)
Dois cases relevantes aqui: a Gogoro (rede de troca de baterias de scooter em Taiwan) resolveu um problema quase idêntico ao da Moura — ativos de bateria espalhados fisicamente, vulneráveis a furto — com dois mecanismos: (1) desenho físico deliberadamente “frágil” no ponto de ataque (a alça da bateria é mais fraca que a trava da estação — se alguém arranca à força, leva só a alça, não a bateria), e (2) desativação remota da bateria assim que um furto é reportado, tornando o item roubado inútil. Já a Samsara/Geotab (rastreamento de ativos via GPS/IoT) tem cases quantificados de redução de furto em equipamentos de campo: a Hoskins evitou US$ 120 mil em reposição de equipamento, e a DeSilva Gates protege mais de US$ 200 milhões em ativos com tags de rastreamento.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O que sugiro adaptar: </w:t>
      </w:r>
      <w:r>
        <w:rPr>
          <w:color w:val="222222"/>
          <w:sz w:val="21"/>
          <w:szCs w:val="21"/>
        </w:rPr>
        <w:t xml:space="preserve">a lição do Gogoro é mais estrutural (desenhar o ativo para que o furto vire “prejuízo pequeno e sem valor” para o ladrão, em vez de tentar impedir o furto) — pode ser mais barato e mais rápido de implementar do que reforçar segurança física em milhares de sites.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c0gwalrbp55lusvu3sz8q">
        <w:r>
          <w:rPr>
            <w:rStyle w:val="Hyperlink"/>
            <w:color w:val="1155CC"/>
            <w:sz w:val="19"/>
            <w:szCs w:val="19"/>
            <w:u w:val="single"/>
          </w:rPr>
          <w:t xml:space="preserve">Gogoro — battery swap platform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vwojdm-5ffxgsr3usa2xh">
        <w:r>
          <w:rPr>
            <w:rStyle w:val="Hyperlink"/>
            <w:color w:val="1155CC"/>
            <w:sz w:val="19"/>
            <w:szCs w:val="19"/>
            <w:u w:val="single"/>
          </w:rPr>
          <w:t xml:space="preserve">Samsara — GPS theft prevention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hardware “imaturo” — o MVP (Connect Plus) que virou produção sem virar produto industrial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(Francisco: “é o MVP que virou produção... não é no patamar industrial”; Vanessa: “a POC acabou virando produto muito rápido”)
Aqui não encontrei um case público com nome de empresa e métricas — é um padrão amplamente documentado na literatura de hardware IoT, não um case isolado. A lição mais citada na indústria: a maior causa de falha na transição de MVP para produção não é o hardware em si, mas tratar a viabilidade de manufatura e a cadeia de suprimentos como um problema “de depois”, resolvido só quando a demanda já escalou — exatamente o padrão descrito por Francisco e Vanessa.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Sinalização honesta: </w:t>
      </w:r>
      <w:r>
        <w:rPr>
          <w:color w:val="222222"/>
          <w:sz w:val="21"/>
          <w:szCs w:val="21"/>
        </w:rPr>
        <w:t xml:space="preserve">esse é o único ponto da lista sem um case nomeado forte — se for um tema prioritário, vale uma pesquisa dedicada (ex.: benchmarking com empresas de hardware conectado que passaram por essa transição, como fabricantes de dispositivos IoT industriais).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1aj6v9wurllglybtlo0jj">
        <w:r>
          <w:rPr>
            <w:rStyle w:val="Hyperlink"/>
            <w:color w:val="1155CC"/>
            <w:sz w:val="19"/>
            <w:szCs w:val="19"/>
            <w:u w:val="single"/>
          </w:rPr>
          <w:t xml:space="preserve">IoT hardware development — Velvetech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qcbmgobufpg0a6ufg67xf">
        <w:r>
          <w:rPr>
            <w:rStyle w:val="Hyperlink"/>
            <w:color w:val="1155CC"/>
            <w:sz w:val="19"/>
            <w:szCs w:val="19"/>
            <w:u w:val="single"/>
          </w:rPr>
          <w:t xml:space="preserve">IoT in Manufacturing — MachineMetrics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falta de padronização na instalação em campo (erros de ligação, ~30-35% dos sites com problema)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(Francisco: “30% a 35% (80 sites) não enviando dados corretos por falhas na ligação”; Yasmim: “o pessoal em campo tem muita dificuldade... ainda não é plug and play”; Vanessa: “o cara instala, conecta um cabo errado”)
O setor de energia solar residencial nos EUA passou por um problema equivalente: milhares de instaladores terceirizados, qualidade de instalação inconsistente, risco de segurança e de garantia. A solução foi a certificação NABCEP — um padrão nacional de certificação de instaladores, hoje tratado como “selo de qualidade” que financiadores e seguradoras chegam a exigir.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O que sugiro adaptar: </w:t>
      </w:r>
      <w:r>
        <w:rPr>
          <w:color w:val="222222"/>
          <w:sz w:val="21"/>
          <w:szCs w:val="21"/>
        </w:rPr>
        <w:t xml:space="preserve">um programa formal de certificação/homologação para os times de instalação em campo (próprios ou terceirizados), com um selo interno mínimo antes de liberar alguém para instalar — mais estrutural do que treinamento pontual, e cria um critério auditável de “quem pode instalar”.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ntwaiyya3tdfz1cm1i4-b">
        <w:r>
          <w:rPr>
            <w:rStyle w:val="Hyperlink"/>
            <w:color w:val="1155CC"/>
            <w:sz w:val="19"/>
            <w:szCs w:val="19"/>
            <w:u w:val="single"/>
          </w:rPr>
          <w:t xml:space="preserve">NABCEP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dependência de fornecedor único crítico (cadeado eletrônico terceirizado, risco de cibersegurança)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(Francisco: “a camada física de proteção patrimonial é totalmente controlada por um fornecedor terceiro... se o sistema for hackeado, a Moura perde imediatamente o acesso físico”)
O conceito de dual sourcing (ter pelo menos dois fornecedores qualificados para um componente crítico) é prática consolidada em gestão de risco de cadeia de suprimentos — hoje adotada por 81% das lideranças de supply chain (alta de 55% em 2020, segundo a McKinsey). A Cisco, por exemplo, reforçou essa estratégia após o choque de escassez de semicondutores de 2020-2022, quando ficou exposta por depender de poucos fornecedores para componentes críticos.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O que sugiro adaptar: </w:t>
      </w:r>
      <w:r>
        <w:rPr>
          <w:color w:val="222222"/>
          <w:sz w:val="21"/>
          <w:szCs w:val="21"/>
        </w:rPr>
        <w:t xml:space="preserve">avaliar formalmente um segundo fornecedor homologado para o componente de trava eletrônica (mesmo que o fornecedor principal continue sendo o preferencial) — reduz o risco descrito por Francisco sem precisar trocar de fornecedor hoje.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wiangezzkcgowogkprtq-">
        <w:r>
          <w:rPr>
            <w:rStyle w:val="Hyperlink"/>
            <w:color w:val="1155CC"/>
            <w:sz w:val="19"/>
            <w:szCs w:val="19"/>
            <w:u w:val="single"/>
          </w:rPr>
          <w:t xml:space="preserve">Dual sourcing — GEP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c9o7rsr1run1f8muyiscg">
        <w:r>
          <w:rPr>
            <w:rStyle w:val="Hyperlink"/>
            <w:color w:val="1155CC"/>
            <w:sz w:val="19"/>
            <w:szCs w:val="19"/>
            <w:u w:val="single"/>
          </w:rPr>
          <w:t xml:space="preserve">Cisco supply chain case</w:t>
        </w:r>
      </w:hyperlink>
    </w:p>
    <w:p>
      <w:pPr>
        <w:pStyle w:val="Heading2"/>
        <w:spacing w:after="120" w:before="280"/>
      </w:pPr>
      <w:r>
        <w:rPr>
          <w:b/>
          <w:bCs/>
          <w:color w:val="4B238D"/>
          <w:sz w:val="24"/>
          <w:szCs w:val="24"/>
        </w:rPr>
        <w:t xml:space="preserve">Dor: silos internos e lentidão entre Comercial, Engenharia e Financeiro na precificação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(Time Financeiro: “a gente tenta um espaço com engenharia, depois um espaço com compras... fica nesse leva e traz”; José Espinosa: “o comercial é reativo... não pensa em alternativas”)
O conceito de Deal Desk — um time cross-funcional fixo (vendas, engenharia/produto, financeiro, jurídico) que centraliza a aprovação e a precificação de propostas complexas — existe justamente para resolver esse “leva e traz” entre áreas em vendas B2B de ciclo longo e proposta customizada. Não é uma empresa específica, é um modelo organizacional adotado amplamente em vendas B2B complexas.</w:t>
      </w:r>
    </w:p>
    <w:p>
      <w:pPr>
        <w:spacing w:after="160" w:line="300"/>
      </w:pPr>
      <w:r>
        <w:rPr>
          <w:b/>
          <w:bCs/>
          <w:color w:val="2A005D"/>
          <w:sz w:val="21"/>
          <w:szCs w:val="21"/>
        </w:rPr>
        <w:t xml:space="preserve">O que sugiro adaptar: </w:t>
      </w:r>
      <w:r>
        <w:rPr>
          <w:color w:val="222222"/>
          <w:sz w:val="21"/>
          <w:szCs w:val="21"/>
        </w:rPr>
        <w:t xml:space="preserve">formalizar um “Deal Desk” para propostas de Energia como Serviço — hoje a Força-Tarefa informal que existia (citada pelo Time Financeiro como algo que “existia antes” e se perdeu) já era, na prática, esse modelo. Pode ser mais fácil de vender internamente como “recriar algo que já funcionou” do que como processo novo.</w:t>
      </w:r>
    </w:p>
    <w:p>
      <w:pPr>
        <w:spacing w:after="320"/>
      </w:pPr>
      <w:r>
        <w:rPr>
          <w:b/>
          <w:bCs/>
          <w:color w:val="555555"/>
          <w:sz w:val="19"/>
          <w:szCs w:val="19"/>
        </w:rPr>
        <w:t xml:space="preserve">Fontes: </w:t>
      </w:r>
      <w:hyperlink w:history="1" r:id="rIdsre6hnzom_0vvogb9emch">
        <w:r>
          <w:rPr>
            <w:rStyle w:val="Hyperlink"/>
            <w:color w:val="1155CC"/>
            <w:sz w:val="19"/>
            <w:szCs w:val="19"/>
            <w:u w:val="single"/>
          </w:rPr>
          <w:t xml:space="preserve">Salesforce — What is a Deal Desk</w:t>
        </w:r>
      </w:hyperlink>
      <w:r>
        <w:rPr>
          <w:color w:val="555555"/>
          <w:sz w:val="19"/>
          <w:szCs w:val="19"/>
        </w:rPr>
        <w:t xml:space="preserve">  ·  </w:t>
      </w:r>
      <w:hyperlink w:history="1" r:id="rId8yu1hf_zwgkrl3fmrrgb_">
        <w:r>
          <w:rPr>
            <w:rStyle w:val="Hyperlink"/>
            <w:color w:val="1155CC"/>
            <w:sz w:val="19"/>
            <w:szCs w:val="19"/>
            <w:u w:val="single"/>
          </w:rPr>
          <w:t xml:space="preserve">DealHub — Deal Desk demystified</w:t>
        </w:r>
      </w:hyperlink>
    </w:p>
    <w:p>
      <w:r>
        <w:br w:type="page"/>
      </w:r>
    </w:p>
    <w:p>
      <w:pPr>
        <w:pStyle w:val="Heading1"/>
        <w:pBdr>
          <w:bottom w:val="single" w:color="4B238D" w:sz="6" w:space="4"/>
        </w:pBdr>
        <w:spacing w:after="160" w:before="360"/>
      </w:pPr>
      <w:r>
        <w:rPr>
          <w:b/>
          <w:bCs/>
          <w:color w:val="2A005D"/>
          <w:sz w:val="30"/>
          <w:szCs w:val="30"/>
        </w:rPr>
        <w:t xml:space="preserve">Resumo — tabela de referência rápida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600"/>
      </w:tblGrid>
      <w:tr>
        <w:trPr>
          <w:tblHeader/>
        </w:trPr>
        <w:tc>
          <w:tcPr>
            <w:tcW w:type="dxa" w:w="2600"/>
            <w:shd w:fill="2A00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Dor / tema</w:t>
            </w:r>
          </w:p>
        </w:tc>
        <w:tc>
          <w:tcPr>
            <w:tcW w:type="dxa" w:w="2400"/>
            <w:shd w:fill="2A00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600"/>
            <w:shd w:fill="2A00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endereça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CAPEX→OPEX (geral)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Xerox/HP, Kaeser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Comunicação e estrutura contratual do modelo</w:t>
            </w:r>
          </w:p>
        </w:tc>
      </w:tr>
      <w:tr>
        <w:trPr>
          <w:tblHeader w:val="false"/>
        </w:trPr>
        <w:tc>
          <w:tcPr>
            <w:tcW w:type="dxa" w:w="2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Pagar por disponibilidade</w:t>
            </w:r>
          </w:p>
        </w:tc>
        <w:tc>
          <w:tcPr>
            <w:tcW w:type="dxa" w:w="24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Rolls-Royce Power by the Hour</w:t>
            </w:r>
          </w:p>
        </w:tc>
        <w:tc>
          <w:tcPr>
            <w:tcW w:type="dxa" w:w="3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Tolling/uptime como estrutura de pagamento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Consolidar fornecedor de infra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Signify Pay-per-Lux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Modelo de serviço em infra pública de longo prazo</w:t>
            </w:r>
          </w:p>
        </w:tc>
      </w:tr>
      <w:tr>
        <w:trPr>
          <w:tblHeader w:val="false"/>
        </w:trPr>
        <w:tc>
          <w:tcPr>
            <w:tcW w:type="dxa" w:w="2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Mesmo setor (telecom/energia)</w:t>
            </w:r>
          </w:p>
        </w:tc>
        <w:tc>
          <w:tcPr>
            <w:tcW w:type="dxa" w:w="24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Aggreko</w:t>
            </w:r>
          </w:p>
        </w:tc>
        <w:tc>
          <w:tcPr>
            <w:tcW w:type="dxa" w:w="3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Referência contratual direta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Funding do CAPEX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Sunrun TPO, Rolls-Royce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Financiamento via terceiros contra receita recorrente</w:t>
            </w:r>
          </w:p>
        </w:tc>
      </w:tr>
      <w:tr>
        <w:trPr>
          <w:tblHeader w:val="false"/>
        </w:trPr>
        <w:tc>
          <w:tcPr>
            <w:tcW w:type="dxa" w:w="2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Comercial sem lastro técnico</w:t>
            </w:r>
          </w:p>
        </w:tc>
        <w:tc>
          <w:tcPr>
            <w:tcW w:type="dxa" w:w="24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White Martins / “application engineer”</w:t>
            </w:r>
          </w:p>
        </w:tc>
        <w:tc>
          <w:tcPr>
            <w:tcW w:type="dxa" w:w="3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Engenheiro dentro do processo comercial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Furto/vandalismo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Gogoro, Samsara/Geotab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Desenho do ativo + rastreamento</w:t>
            </w:r>
          </w:p>
        </w:tc>
      </w:tr>
      <w:tr>
        <w:trPr>
          <w:tblHeader w:val="false"/>
        </w:trPr>
        <w:tc>
          <w:tcPr>
            <w:tcW w:type="dxa" w:w="2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Hardware imaturo</w:t>
            </w:r>
          </w:p>
        </w:tc>
        <w:tc>
          <w:tcPr>
            <w:tcW w:type="dxa" w:w="24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(sem case forte — sinalizado)</w:t>
            </w:r>
          </w:p>
        </w:tc>
        <w:tc>
          <w:tcPr>
            <w:tcW w:type="dxa" w:w="3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Instalação sem padrão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NABCEP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Certificação de instaladores</w:t>
            </w:r>
          </w:p>
        </w:tc>
      </w:tr>
      <w:tr>
        <w:trPr>
          <w:tblHeader w:val="false"/>
        </w:trPr>
        <w:tc>
          <w:tcPr>
            <w:tcW w:type="dxa" w:w="2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Fornecedor único crítico</w:t>
            </w:r>
          </w:p>
        </w:tc>
        <w:tc>
          <w:tcPr>
            <w:tcW w:type="dxa" w:w="24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Dual sourcing (Cisco)</w:t>
            </w:r>
          </w:p>
        </w:tc>
        <w:tc>
          <w:tcPr>
            <w:tcW w:type="dxa" w:w="3600"/>
            <w:shd w:fill="F6F3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Redundância de fornecedor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Silos internos na precificação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Deal Desk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Squad cross-funcional fixo</w:t>
            </w:r>
          </w:p>
        </w:tc>
      </w:tr>
    </w:tbl>
    <w:p>
      <w:pPr>
        <w:spacing w:before="260"/>
      </w:pPr>
    </w:p>
    <w:p>
      <w:pPr>
        <w:spacing w:after="240"/>
      </w:pPr>
      <w:r>
        <w:rPr>
          <w:i/>
          <w:iCs/>
          <w:color w:val="555555"/>
          <w:sz w:val="19"/>
          <w:szCs w:val="19"/>
        </w:rPr>
        <w:t xml:space="preserve">Fontes consultadas via pesquisa na internet em 24/07/2026, listadas por case ao longo do documento. Dores de origem: aba “Desafios” da planilha Moura_Telecom_Phase_1__Interviews (versão enviada em anexo) e transcrições da imersão interna (documentos 01 a 12 do repositório de análise).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t7ipobnrne2bgubdiybp" Type="http://schemas.openxmlformats.org/officeDocument/2006/relationships/hyperlink" Target="https://www.xerox.com/en-us/services/managed-print-services/insights/managed-print-advantages" TargetMode="External"/><Relationship Id="rIdjscc8jcvkat26aamic_5w" Type="http://schemas.openxmlformats.org/officeDocument/2006/relationships/hyperlink" Target="https://www.xerox.com/en-us/services/city-of-new-york-case-study" TargetMode="External"/><Relationship Id="rIdbc3znnduiv_dssqlipbps" Type="http://schemas.openxmlformats.org/officeDocument/2006/relationships/hyperlink" Target="https://www.kaeser.com/int-en/products/sigma-air-utility-operator-model" TargetMode="External"/><Relationship Id="rIdduwkoguhwpbaych0utusi" Type="http://schemas.openxmlformats.org/officeDocument/2006/relationships/hyperlink" Target="https://us.kaeser.com/compressed-air-resources/references/success-stories/compressed-air-contracting-for-basf.aspx" TargetMode="External"/><Relationship Id="rIdhu9qdl0w1ttwjzpxmcrzk" Type="http://schemas.openxmlformats.org/officeDocument/2006/relationships/hyperlink" Target="https://www.ellenmacarthurfoundation.org/case-studies/selling-light-as-a-service" TargetMode="External"/><Relationship Id="rIdpkzqx_k3u99v9n3tcajrl" Type="http://schemas.openxmlformats.org/officeDocument/2006/relationships/hyperlink" Target="https://www.circularx.eu/en/cases/40/signify-light-as-a-service" TargetMode="External"/><Relationship Id="rIdhomk2c1tkmyv_c2eci3zc" Type="http://schemas.openxmlformats.org/officeDocument/2006/relationships/hyperlink" Target="https://www.rolls-royce.com/media/our-stories/discover/2017/totalcare.aspx" TargetMode="External"/><Relationship Id="rIdrqamt79ajeaiymxvrbgre" Type="http://schemas.openxmlformats.org/officeDocument/2006/relationships/hyperlink" Target="https://www.researchgate.net/publication/260115550_Power-by-the-hour_The_role_of_technology_in_reshaping_business_strategy_at_Rolls-Royce" TargetMode="External"/><Relationship Id="rIdtubzx5ncoqvdnmdsclqks" Type="http://schemas.openxmlformats.org/officeDocument/2006/relationships/hyperlink" Target="https://business.michelinman.com/freight-transportation/freight-transportation-services/michelin-fleet-solutions" TargetMode="External"/><Relationship Id="rIdmiooknm4hw_l15jjjpmgt" Type="http://schemas.openxmlformats.org/officeDocument/2006/relationships/hyperlink" Target="https://www.grin.com/document/1421992" TargetMode="External"/><Relationship Id="rIduknmmrcjzmsqv-dx2ortl" Type="http://schemas.openxmlformats.org/officeDocument/2006/relationships/hyperlink" Target="https://www.aggreko.com/en-us/sectors/telecommunications" TargetMode="External"/><Relationship Id="rIdgitm4uq5obwtr23ab2vd-" Type="http://schemas.openxmlformats.org/officeDocument/2006/relationships/hyperlink" Target="https://www.aggreko.com/en-us/case-studies/data-centres/powering-the-largest-data-centre-in-nigeria" TargetMode="External"/><Relationship Id="rId55mlhdjnlbd1t-hdnnpy9" Type="http://schemas.openxmlformats.org/officeDocument/2006/relationships/hyperlink" Target="https://www.sunrun.com/go-solar-center/solar-terms/definition/third-party-owner" TargetMode="External"/><Relationship Id="rIdtltun2k6nyyml6ebz_2r1" Type="http://schemas.openxmlformats.org/officeDocument/2006/relationships/hyperlink" Target="https://www.energysage.com/solar/sunrun-tpo-review/" TargetMode="External"/><Relationship Id="rIdubzlf8rvf9bjgneujiliv" Type="http://schemas.openxmlformats.org/officeDocument/2006/relationships/hyperlink" Target="https://www.whitemartins.com.br/produtos-e-servi%C3%A7os/gases" TargetMode="External"/><Relationship Id="rIdhqyyw0nk8wgyvv3pcofia" Type="http://schemas.openxmlformats.org/officeDocument/2006/relationships/hyperlink" Target="https://www.sunrun.com/go-solar-center/solar-terms/definition/third-party-owner" TargetMode="External"/><Relationship Id="rIdqfu7swwr-9pfeii9um1wt" Type="http://schemas.openxmlformats.org/officeDocument/2006/relationships/hyperlink" Target="https://www.rolls-royce.com/media/our-stories/discover/2017/totalcare.aspx" TargetMode="External"/><Relationship Id="rIdc0gwalrbp55lusvu3sz8q" Type="http://schemas.openxmlformats.org/officeDocument/2006/relationships/hyperlink" Target="https://www.engineeringforchange.org/solutions/product/gogoro-network-battery-swapping-platform/" TargetMode="External"/><Relationship Id="rIdvwojdm-5ffxgsr3usa2xh" Type="http://schemas.openxmlformats.org/officeDocument/2006/relationships/hyperlink" Target="https://www.samsara.com/guides/gps-to-track-my-equipment-for-theft" TargetMode="External"/><Relationship Id="rId1aj6v9wurllglybtlo0jj" Type="http://schemas.openxmlformats.org/officeDocument/2006/relationships/hyperlink" Target="https://velvetech.com/blog/iot-hardware-development/" TargetMode="External"/><Relationship Id="rIdqcbmgobufpg0a6ufg67xf" Type="http://schemas.openxmlformats.org/officeDocument/2006/relationships/hyperlink" Target="https://www.machinemetrics.com/blog/iot-in-manufacturing" TargetMode="External"/><Relationship Id="rIdntwaiyya3tdfz1cm1i4-b" Type="http://schemas.openxmlformats.org/officeDocument/2006/relationships/hyperlink" Target="https://www.nabcep.org/certifications/nabcep-board-certifications/" TargetMode="External"/><Relationship Id="rIdwiangezzkcgowogkprtq-" Type="http://schemas.openxmlformats.org/officeDocument/2006/relationships/hyperlink" Target="https://www.gep.com/blog/strategy/dual-sourcing-benefits-challenges-strategies" TargetMode="External"/><Relationship Id="rIdc9o7rsr1run1f8muyiscg" Type="http://schemas.openxmlformats.org/officeDocument/2006/relationships/hyperlink" Target="https://www.irjmets.com/upload_newfiles/irjmets70500093712/paper_file/irjmets70500093712.pdf" TargetMode="External"/><Relationship Id="rIdsre6hnzom_0vvogb9emch" Type="http://schemas.openxmlformats.org/officeDocument/2006/relationships/hyperlink" Target="https://www.salesforce.com/blog/sales/deal-desk/" TargetMode="External"/><Relationship Id="rId8yu1hf_zwgkrl3fmrrgb_" Type="http://schemas.openxmlformats.org/officeDocument/2006/relationships/hyperlink" Target="https://dealhub.io/blog/revenue-operations/the-deal-desk-demystified-orchestrating-sales-success/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2026-07-24T17:20:06.834Z</dcterms:created>
  <dcterms:modified xsi:type="dcterms:W3CDTF">2026-07-24T17:20:06.835Z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