
<file path=[Content_Types].xml><?xml version="1.0" encoding="utf-8"?>
<ct:Types xmlns:ct="http://schemas.openxmlformats.org/package/2006/content-types">
  <ct:Default Extension="xml" ContentType="application/xml"/>
  <ct:Default Extension="rels" ContentType="application/vnd.openxmlformats-package.relationships+xml"/>
  <ct:Default Extension="odttf" ContentType="application/vnd.openxmlformats-officedocument.obfuscatedFont"/>
  <ct:Override PartName="/word/webSettings.xml" ContentType="application/vnd.openxmlformats-officedocument.wordprocessingml.webSettings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theme/theme1.xml" ContentType="application/vnd.openxmlformats-officedocument.theme+xml"/>
  <ct:Override PartName="/word/fontTable.xml" ContentType="application/vnd.openxmlformats-officedocument.wordprocessingml.fontTable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docProps/custom.xml" ContentType="application/vnd.openxmlformats-officedocument.custom-properties+xml"/>
  <ct:Override PartName="/word/styles.xml" ContentType="application/vnd.openxmlformats-officedocument.wordprocessingml.styles+xml"/>
  <ct:Override PartName="/word/document.xml" ContentType="application/vnd.openxmlformats-officedocument.wordprocessingml.document.main+xml"/>
  <ct:Override PartName="/word/comments.xml" ContentType="application/vnd.openxmlformats-officedocument.wordprocessingml.comments+xml"/>
  <ct:Override PartName="/word/footnotes.xml" ContentType="application/vnd.openxmlformats-officedocument.wordprocessingml.footnotes+xml"/>
  <ct:Override PartName="/word/header1.xml" ContentType="application/vnd.openxmlformats-officedocument.wordprocessingml.header+xml"/>
  <ct:Override PartName="/word/footer1.xml" ContentType="application/vnd.openxmlformats-officedocument.wordprocessingml.footer+xml"/>
  <ct:Override PartName="/word/media/rId13.png" ContentType="image/png"/>
  <ct:Override PartName="/word/media/rId16.png" ContentType="image/png"/>
</ct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Referee Report</w:t>
      </w:r>
    </w:p>
    <w:p>
      <w:pPr>
        <w:pStyle w:val="Subtitle"/>
      </w:pPr>
      <w:r>
        <w:t xml:space="preserve">The Saving Glut of the Rich</w:t>
      </w:r>
    </w:p>
    <w:p>
      <w:pPr>
        <w:pStyle w:val="Date"/>
      </w:pPr>
      <w:r>
        <w:t xml:space="preserve">Review of the July 25, 2025 draft</w:t>
      </w:r>
    </w:p>
    <w:p>
      <w:pPr>
        <w:pStyle w:val="FirstParagraph"/>
      </w:pPr>
      <w:r>
        <w:rPr>
          <w:b/>
          <w:bCs/>
        </w:rPr>
        <w:t xml:space="preserve">Recommendation: Revise and resubmit.</w:t>
      </w:r>
      <w:r>
        <w:t xml:space="preserve"> </w:t>
      </w:r>
      <w:r>
        <w:t xml:space="preserve">This is an ambitious, original, and</w:t>
      </w:r>
      <w:r>
        <w:t xml:space="preserve"> </w:t>
      </w:r>
      <w:r>
        <w:t xml:space="preserve">highly relevant paper. Its central innovation is to combine Financial Accounts</w:t>
      </w:r>
      <w:r>
        <w:t xml:space="preserve"> </w:t>
      </w:r>
      <w:r>
        <w:t xml:space="preserve">data with a Leontief-style operator that traces claims through intermediary</w:t>
      </w:r>
      <w:r>
        <w:t xml:space="preserve"> </w:t>
      </w:r>
      <w:r>
        <w:t xml:space="preserve">cross-holdings to their ultimate owners and uses. This makes visible a major</w:t>
      </w:r>
      <w:r>
        <w:t xml:space="preserve"> </w:t>
      </w:r>
      <w:r>
        <w:t xml:space="preserve">within-household shift that aggregate national accounts conceal: the rise in</w:t>
      </w:r>
      <w:r>
        <w:t xml:space="preserve"> </w:t>
      </w:r>
      <w:r>
        <w:t xml:space="preserve">top-1-percent saving and its counterpart in household and government debt.</w:t>
      </w:r>
      <w:r>
        <w:t xml:space="preserve"> </w:t>
      </w:r>
      <w:r>
        <w:t xml:space="preserve">The treatment of valuation changes, retained corporate earnings, and</w:t>
      </w:r>
      <w:r>
        <w:t xml:space="preserve"> </w:t>
      </w:r>
      <w:r>
        <w:t xml:space="preserve">national-accounts closure is particularly valuable. Our reconstruction using</w:t>
      </w:r>
      <w:r>
        <w:t xml:space="preserve"> </w:t>
      </w:r>
      <w:r>
        <w:t xml:space="preserve">the older supplied inputs reproduces the main patterns closely, which increases</w:t>
      </w:r>
      <w:r>
        <w:t xml:space="preserve"> </w:t>
      </w:r>
      <w:r>
        <w:t xml:space="preserve">my confidence that the paper captures a real and economically important fact.</w:t>
      </w:r>
      <w:r>
        <w:t xml:space="preserve"> </w:t>
      </w:r>
      <w:r>
        <w:t xml:space="preserve">I recommend publication after a focused revision addressing the following</w:t>
      </w:r>
      <w:r>
        <w:t xml:space="preserve"> </w:t>
      </w:r>
      <w:r>
        <w:t xml:space="preserve">measurement and interpretation issues.</w:t>
      </w:r>
    </w:p>
    <w:bookmarkStart w:id="12" w:name="main-comments"/>
    <w:p>
      <w:pPr>
        <w:pStyle w:val="Heading1"/>
      </w:pPr>
      <w:r>
        <w:t xml:space="preserve">Main comments</w:t>
      </w:r>
    </w:p>
    <w:bookmarkStart w:id="9" w:name="X533b61151de4d6b67d6df91a997dca587625039"/>
    <w:p>
      <w:pPr>
        <w:pStyle w:val="Heading2"/>
      </w:pPr>
      <w:r>
        <w:t xml:space="preserve">1. Show saving rates over time and by inflation-adjusted wealth levels</w:t>
      </w:r>
    </w:p>
    <w:p>
      <w:pPr>
        <w:pStyle w:val="FirstParagraph"/>
      </w:pPr>
      <w:r>
        <w:t xml:space="preserve">Figure 6 compares two long-period averages by wealth percentile. This is a</w:t>
      </w:r>
      <w:r>
        <w:t xml:space="preserve"> </w:t>
      </w:r>
      <w:r>
        <w:t xml:space="preserve">useful summary, but percentile rank is not the only relevant horizontal axis.</w:t>
      </w:r>
      <w:r>
        <w:t xml:space="preserve"> </w:t>
      </w:r>
      <w:r>
        <w:t xml:space="preserve">If households become richer over time and consumption rises less than</w:t>
      </w:r>
      <w:r>
        <w:t xml:space="preserve"> </w:t>
      </w:r>
      <w:r>
        <w:t xml:space="preserve">proportionally with wealth, an increasing saving rate at high ranks could</w:t>
      </w:r>
      <w:r>
        <w:t xml:space="preserve"> </w:t>
      </w:r>
      <w:r>
        <w:t xml:space="preserve">partly reflect movement along a stable, non-homothetic saving schedule rather</w:t>
      </w:r>
      <w:r>
        <w:t xml:space="preserve"> </w:t>
      </w:r>
      <w:r>
        <w:t xml:space="preserve">than a change in behavior conditional on resources. The paper should therefore</w:t>
      </w:r>
      <w:r>
        <w:t xml:space="preserve"> </w:t>
      </w:r>
      <w:r>
        <w:t xml:space="preserve">show the same saving-rate definition against inflation-adjusted wealth levels,</w:t>
      </w:r>
      <w:r>
        <w:t xml:space="preserve"> </w:t>
      </w:r>
      <w:r>
        <w:t xml:space="preserve">ideally using fixed real-wealth bins in addition to percentile bins.</w:t>
      </w:r>
    </w:p>
    <w:p>
      <w:pPr>
        <w:pStyle w:val="BodyText"/>
      </w:pPr>
      <w:r>
        <w:t xml:space="preserve">Our diagnostic re-plots the same percentile-cohort saving rates at their mean</w:t>
      </w:r>
      <w:r>
        <w:t xml:space="preserve"> </w:t>
      </w:r>
      <w:r>
        <w:t xml:space="preserve">net wealth per adult in 2018 dollars (Referee Figure 1). The result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the post-1982 divergence disappear. For example, the pre-1982 90th-percentile</w:t>
      </w:r>
      <w:r>
        <w:t xml:space="preserve"> </w:t>
      </w:r>
      <w:r>
        <w:t xml:space="preserve">cohort has mean wealth of about $303,000 and a 31.5 percent saving rate, while</w:t>
      </w:r>
      <w:r>
        <w:t xml:space="preserve"> </w:t>
      </w:r>
      <w:r>
        <w:t xml:space="preserve">the post-1982 80th-percentile cohort has similar mean wealth of about $286,000</w:t>
      </w:r>
      <w:r>
        <w:t xml:space="preserve"> </w:t>
      </w:r>
      <w:r>
        <w:t xml:space="preserve">but saves only 7.4 percent. The top 1 percent moves from about $3.0 million to</w:t>
      </w:r>
      <w:r>
        <w:t xml:space="preserve"> </w:t>
      </w:r>
      <w:r>
        <w:t xml:space="preserve">$6.9 million in mean wealth while its saving rate rises from 28.8 to 36.2</w:t>
      </w:r>
      <w:r>
        <w:t xml:space="preserve"> </w:t>
      </w:r>
      <w:r>
        <w:t xml:space="preserve">percent. These comparisons suggest both a rightward shift in wealth and a</w:t>
      </w:r>
      <w:r>
        <w:t xml:space="preserve"> </w:t>
      </w:r>
      <w:r>
        <w:t xml:space="preserve">change in the saving-rate profile. They remain descriptive because cohort means</w:t>
      </w:r>
      <w:r>
        <w:t xml:space="preserve"> </w:t>
      </w:r>
      <w:r>
        <w:t xml:space="preserve">are not fixed-dollar bins and the data are repeated cross-sections; this is</w:t>
      </w:r>
      <w:r>
        <w:t xml:space="preserve"> </w:t>
      </w:r>
      <w:r>
        <w:t xml:space="preserve">precisely why the authors should perform the fixed-real-wealth-bin exercise on</w:t>
      </w:r>
      <w:r>
        <w:t xml:space="preserve"> </w:t>
      </w:r>
      <w:r>
        <w:t xml:space="preserve">their exact 1963–2019 microdata.</w:t>
      </w:r>
    </w:p>
    <w:p>
      <w:pPr>
        <w:pStyle w:val="BodyText"/>
      </w:pPr>
      <w:r>
        <w:t xml:space="preserve">The two-period average also hides considerable time variation (Referee Figure</w:t>
      </w:r>
      <w:r>
        <w:t xml:space="preserve"> </w:t>
      </w:r>
      <w:r>
        <w:t xml:space="preserve">2). In our older-input reconstruction, the five-year top-1 rate is 35.6 percent</w:t>
      </w:r>
      <w:r>
        <w:t xml:space="preserve"> </w:t>
      </w:r>
      <w:r>
        <w:t xml:space="preserve">in the window ending in 1982, peaks at 68.5 percent in the window ending in</w:t>
      </w:r>
      <w:r>
        <w:t xml:space="preserve"> </w:t>
      </w:r>
      <w:r>
        <w:t xml:space="preserve">2008, and falls to 24.1 percent by 2016. The bottom-40 rate moves from -3.3 to</w:t>
      </w:r>
      <w:r>
        <w:t xml:space="preserve"> </w:t>
      </w:r>
      <w:r>
        <w:t xml:space="preserve">-15.3 and back to -3.2 percent over the same windows. This is consistent with</w:t>
      </w:r>
      <w:r>
        <w:t xml:space="preserve"> </w:t>
      </w:r>
      <w:r>
        <w:t xml:space="preserve">strong crisis-era movement at both ends, in opposite directions, but it is not</w:t>
      </w:r>
      <w:r>
        <w:t xml:space="preserve"> </w:t>
      </w:r>
      <w:r>
        <w:t xml:space="preserve">a causal Great Recession estimate: overlapping windows blur timing and the</w:t>
      </w:r>
      <w:r>
        <w:t xml:space="preserve"> </w:t>
      </w:r>
      <w:r>
        <w:t xml:space="preserve">2008 window contains four pre-crisis years. The paper should add annual or</w:t>
      </w:r>
      <w:r>
        <w:t xml:space="preserve"> </w:t>
      </w:r>
      <w:r>
        <w:t xml:space="preserve">non-overlapping windows, recession shading, and a decomposition into financial</w:t>
      </w:r>
      <w:r>
        <w:t xml:space="preserve"> </w:t>
      </w:r>
      <w:r>
        <w:t xml:space="preserve">assets, housing, debt write-downs, and the equity-valuation residual.</w:t>
      </w:r>
    </w:p>
    <w:p>
      <w:pPr>
        <w:pStyle w:val="BodyText"/>
      </w:pPr>
      <w:r>
        <w:t xml:space="preserve">A standard logarithmic color scale is invalid because saving rates can be zero</w:t>
      </w:r>
      <w:r>
        <w:t xml:space="preserve"> </w:t>
      </w:r>
      <w:r>
        <w:t xml:space="preserve">or negative. I suggest a linear, zero-centered main heatmap and a clearly</w:t>
      </w:r>
      <w:r>
        <w:t xml:space="preserve"> </w:t>
      </w:r>
      <w:r>
        <w:t xml:space="preserve">labelled symmetric-logarithmic or inverse-hyperbolic-sine diagnostic, accompanied</w:t>
      </w:r>
      <w:r>
        <w:t xml:space="preserve"> </w:t>
      </w:r>
      <w:r>
        <w:t xml:space="preserve">by selected-percentile lines. If the intended object is</w:t>
      </w:r>
      <w:r>
        <w:t xml:space="preserve"> </w:t>
      </w:r>
      <w:r>
        <w:rPr>
          <w:i/>
          <w:iCs/>
        </w:rPr>
        <w:t xml:space="preserve">change</w:t>
      </w:r>
      <w:r>
        <w:t xml:space="preserve">, the heatmap</w:t>
      </w:r>
      <w:r>
        <w:t xml:space="preserve"> </w:t>
      </w:r>
      <w:r>
        <w:t xml:space="preserve">should plot deviations from each percentile’s pre-1982 mean rather than levels.</w:t>
      </w:r>
    </w:p>
    <w:bookmarkEnd w:id="9"/>
    <w:bookmarkStart w:id="10" w:name="Xd9adac8732c43dc363e7961e3551bc8acc3637d"/>
    <w:p>
      <w:pPr>
        <w:pStyle w:val="Heading2"/>
      </w:pPr>
      <w:r>
        <w:t xml:space="preserve">2. Bound what the unveiling and saving assumptions identify</w:t>
      </w:r>
    </w:p>
    <w:p>
      <w:pPr>
        <w:pStyle w:val="FirstParagraph"/>
      </w:pPr>
      <w:r>
        <w:t xml:space="preserve">The proportional allocation rule is transparent, but claims issued by an</w:t>
      </w:r>
      <w:r>
        <w:t xml:space="preserve"> </w:t>
      </w:r>
      <w:r>
        <w:t xml:space="preserve">intermediary differ in seniority, maturity, collateral, guarantees, and risk.</w:t>
      </w:r>
      <w:r>
        <w:t xml:space="preserve"> </w:t>
      </w:r>
      <w:r>
        <w:t xml:space="preserve">The operator therefore identifies proportional ultimate claim ownership, not</w:t>
      </w:r>
      <w:r>
        <w:t xml:space="preserve"> </w:t>
      </w:r>
      <w:r>
        <w:t xml:space="preserve">necessarily loss incidence, control, or causation. The paper should report the</w:t>
      </w:r>
      <w:r>
        <w:t xml:space="preserve"> </w:t>
      </w:r>
      <w:r>
        <w:t xml:space="preserve">observed, balanced, and imputed shares of the direct matrix; the residual share;</w:t>
      </w:r>
      <w:r>
        <w:t xml:space="preserve"> </w:t>
      </w:r>
      <w:r>
        <w:t xml:space="preserve">and sensitivity of Figures 8–10 to perturbations of the largest imputed links</w:t>
      </w:r>
      <w:r>
        <w:t xml:space="preserve"> </w:t>
      </w:r>
      <w:r>
        <w:t xml:space="preserve">and alternative instrument-specific allocations.</w:t>
      </w:r>
    </w:p>
    <w:p>
      <w:pPr>
        <w:pStyle w:val="BodyText"/>
      </w:pPr>
      <w:r>
        <w:t xml:space="preserve">Likewise, NIPA closure is an essential accounting check but does not identify</w:t>
      </w:r>
      <w:r>
        <w:t xml:space="preserve"> </w:t>
      </w:r>
      <w:r>
        <w:t xml:space="preserve">how the residual equity valuation term is distributed. Because equity ownership</w:t>
      </w:r>
      <w:r>
        <w:t xml:space="preserve"> </w:t>
      </w:r>
      <w:r>
        <w:t xml:space="preserve">is concentrated, plausible alternatives for equity inflation, corporate saving,</w:t>
      </w:r>
      <w:r>
        <w:t xml:space="preserve"> </w:t>
      </w:r>
      <w:r>
        <w:t xml:space="preserve">housing returns, and debt write-downs should be propagated into uncertainty or</w:t>
      </w:r>
      <w:r>
        <w:t xml:space="preserve"> </w:t>
      </w:r>
      <w:r>
        <w:t xml:space="preserve">sensitivity bands for Figures 5 and 6. These diagnostics are especially</w:t>
      </w:r>
      <w:r>
        <w:t xml:space="preserve"> </w:t>
      </w:r>
      <w:r>
        <w:t xml:space="preserve">important around 2008. Finally, causal verbs such as</w:t>
      </w:r>
      <w:r>
        <w:t xml:space="preserve"> </w:t>
      </w:r>
      <w:r>
        <w:t xml:space="preserve">“fueled”</w:t>
      </w:r>
      <w:r>
        <w:t xml:space="preserve"> </w:t>
      </w:r>
      <w:r>
        <w:t xml:space="preserve">or</w:t>
      </w:r>
      <w:r>
        <w:t xml:space="preserve"> </w:t>
      </w:r>
      <w:r>
        <w:t xml:space="preserve">“drove”</w:t>
      </w:r>
      <w:r>
        <w:t xml:space="preserve"> </w:t>
      </w:r>
      <w:r>
        <w:t xml:space="preserve">should</w:t>
      </w:r>
      <w:r>
        <w:t xml:space="preserve"> </w:t>
      </w:r>
      <w:r>
        <w:t xml:space="preserve">be reserved for identified mechanisms; the baseline establishes that saving is</w:t>
      </w:r>
      <w:r>
        <w:t xml:space="preserve"> </w:t>
      </w:r>
      <w:r>
        <w:t xml:space="preserve">ultimately</w:t>
      </w:r>
      <w:r>
        <w:t xml:space="preserve"> </w:t>
      </w:r>
      <w:r>
        <w:rPr>
          <w:i/>
          <w:iCs/>
        </w:rPr>
        <w:t xml:space="preserve">absorbed by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held against</w:t>
      </w:r>
      <w:r>
        <w:t xml:space="preserve"> </w:t>
      </w:r>
      <w:r>
        <w:t xml:space="preserve">particular debt claims.</w:t>
      </w:r>
    </w:p>
    <w:bookmarkEnd w:id="10"/>
    <w:bookmarkStart w:id="11" w:name="X5f46b2c35c67facaebe225e1cb1859cbd57164b"/>
    <w:p>
      <w:pPr>
        <w:pStyle w:val="Heading2"/>
      </w:pPr>
      <w:r>
        <w:t xml:space="preserve">3. Provide a version-matched replication package</w:t>
      </w:r>
    </w:p>
    <w:p>
      <w:pPr>
        <w:pStyle w:val="FirstParagraph"/>
      </w:pPr>
      <w:r>
        <w:t xml:space="preserve">The February 2021 package reproduces its own paper version, but it generally</w:t>
      </w:r>
      <w:r>
        <w:t xml:space="preserve"> </w:t>
      </w:r>
      <w:r>
        <w:t xml:space="preserve">ends in 2016 and uses the earlier round-by-round unveiling. The revised paper</w:t>
      </w:r>
      <w:r>
        <w:t xml:space="preserve"> </w:t>
      </w:r>
      <w:r>
        <w:t xml:space="preserve">should archive the exact 2025 inputs, completed annual matrices, crosswalks,</w:t>
      </w:r>
      <w:r>
        <w:t xml:space="preserve"> </w:t>
      </w:r>
      <w:r>
        <w:t xml:space="preserve">valuation construction, and figure scripts behind the 2019 results. This is</w:t>
      </w:r>
      <w:r>
        <w:t xml:space="preserve"> </w:t>
      </w:r>
      <w:r>
        <w:t xml:space="preserve">particularly important for a paper whose methodology is itself a major</w:t>
      </w:r>
      <w:r>
        <w:t xml:space="preserve"> </w:t>
      </w:r>
      <w:r>
        <w:t xml:space="preserve">contribution.</w:t>
      </w:r>
    </w:p>
    <w:p>
      <w:pPr>
        <w:pStyle w:val="BodyText"/>
      </w:pPr>
      <w:r>
        <w:t xml:space="preserve">Overall, these requests would sharpen the interpretation rather than overturn</w:t>
      </w:r>
      <w:r>
        <w:t xml:space="preserve"> </w:t>
      </w:r>
      <w:r>
        <w:t xml:space="preserve">the main finding. The paper offers a genuinely useful framework and compelling</w:t>
      </w:r>
      <w:r>
        <w:t xml:space="preserve"> </w:t>
      </w:r>
      <w:r>
        <w:t xml:space="preserve">evidence that rising inequality has changed both the composition and ultimate</w:t>
      </w:r>
      <w:r>
        <w:t xml:space="preserve"> </w:t>
      </w:r>
      <w:r>
        <w:t xml:space="preserve">use of saving.</w:t>
      </w:r>
    </w:p>
    <w:p>
      <w:r>
        <w:br w:type="page"/>
      </w:r>
    </w:p>
    <w:bookmarkEnd w:id="11"/>
    <w:bookmarkEnd w:id="12"/>
    <w:bookmarkStart w:id="19" w:name="referee-diagnostics"/>
    <w:p>
      <w:pPr>
        <w:pStyle w:val="Heading1"/>
      </w:pPr>
      <w:r>
        <w:t xml:space="preserve">Referee diagnostics</w:t>
      </w:r>
    </w:p>
    <w:p>
      <w:pPr>
        <w:pStyle w:val="CaptionedFigure"/>
      </w:pPr>
      <w:r>
        <w:drawing>
          <ns1:inline>
            <ns1:extent cx="5349240" cy="2201813"/>
            <ns1:effectExtent b="0" l="0" r="0" t="0"/>
            <ns1:docPr descr="Referee Figure 1. The same net-saving rates are plotted by percentile rank and by cohort mean net wealth per adult in 2018 dollars. This is an older-input reconstruction through 2016, not a fixed-real-wealth-bin estimate and not the authors’ 2025 series." title="" id="14" name="Picture"/>
            <ns2:graphic>
              <ns2:graphicData uri="http://schemas.openxmlformats.org/drawingml/2006/picture">
                <ns3:pic>
                  <ns3:nvPicPr>
                    <ns3:cNvPr descr="../Results_Proposal/figures/figure6_percentile_vs_wealth_level.png" id="15" name="Picture"/>
                    <ns3:cNvPicPr>
                      <ns2:picLocks noChangeArrowheads="1" noChangeAspect="1"/>
                    </ns3:cNvPicPr>
                  </ns3:nvPicPr>
                  <ns3:blipFill>
                    <ns2:blip r:embed="rId1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49240" cy="220181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Referee Figure 1. The same net-saving rates are plotted by percentile rank and by cohort mean net wealth per adult in 2018 dollars. This is an older-input reconstruction through 2016, not a fixed-real-wealth-bin estimate and not the authors’ 2025 series.</w:t>
      </w:r>
    </w:p>
    <w:p>
      <w:pPr>
        <w:pStyle w:val="CaptionedFigure"/>
      </w:pPr>
      <w:r>
        <w:drawing>
          <ns1:inline>
            <ns1:extent cx="5349240" cy="3292322"/>
            <ns1:effectExtent b="0" l="0" r="0" t="0"/>
            <ns1:docPr descr="Referee Figure 2. Trailing five-year net saving rates across the wealth distribution. The figure uses the February 2021 input vintage through 2016 and is diagnostic evidence, not the authors’ July 2025 series." title="" id="17" name="Picture"/>
            <ns2:graphic>
              <ns2:graphicData uri="http://schemas.openxmlformats.org/drawingml/2006/picture">
                <ns3:pic>
                  <ns3:nvPicPr>
                    <ns3:cNvPr descr="../Results_Proposal/figures/figure6_rolling5_heatmap.png" id="18" name="Picture"/>
                    <ns3:cNvPicPr>
                      <ns2:picLocks noChangeArrowheads="1" noChangeAspect="1"/>
                    </ns3:cNvPicPr>
                  </ns3:nvPicPr>
                  <ns3:blipFill>
                    <ns2:blip r:embed="rId1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49240" cy="329232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Referee Figure 2. Trailing five-year net saving rates across the wealth distribution. The figure uses the February 2021 input vintage through 2016 and is diagnostic evidence, not the authors’ July 2025 series.</w:t>
      </w:r>
    </w:p>
    <w:bookmarkEnd w:id="19"/>
    <w:sectPr>
      <w:headerReference w:type="default" r:id="rIdRefereeHeader"/>
      <w:footerReference w:type="default" r:id="rIdRefereeFooter"/>
      <w:footnotePr>
        <w:numRestart w:val="eachSect"/>
      </w:footnotePr>
      <w:pgSz w:h="15840" w:w="12240"/>
      <w:pgMar w:bottom="1440" w:footer="708" w:gutter="0" w:header="708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after="0"/>
    </w:pPr>
    <w:fldSimple w:instr=" PAGE ">
      <w:r>
        <w:rPr>
          <w:rFonts w:ascii="Calibri" w:hAnsi="Calibri" w:eastAsia="Calibri" w:cs="Calibri"/>
          <w:sz w:val="18"/>
          <w:szCs w:val="18"/>
          <w:color w:val="6B72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60"/>
      </w:tabs>
      <w:spacing w:after="0"/>
    </w:pPr>
    <w:r>
      <w:rPr>
        <w:rFonts w:ascii="Calibri" w:hAnsi="Calibri" w:eastAsia="Calibri" w:cs="Calibri"/>
        <w:sz w:val="18"/>
        <w:szCs w:val="18"/>
        <w:color w:val="6B7280"/>
      </w:rPr>
      <w:t>Referee Report</w:t>
    </w:r>
    <w:r>
      <w:tab/>
    </w:r>
    <w:r>
      <w:rPr>
        <w:rFonts w:ascii="Calibri" w:hAnsi="Calibri" w:eastAsia="Calibri" w:cs="Calibri"/>
        <w:sz w:val="18"/>
        <w:szCs w:val="18"/>
        <w:color w:val="6B7280"/>
      </w:rPr>
      <w:t>July 25, 2025 draft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tabs>
          <w:tab w:val="num" w:pos="720"/>
        </w:tabs>
        <w:spacing w:before="0" w:after="160" w:line="280" w:lineRule="auto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asciiTheme="minorHAnsi" w:cs="Calibri" w:cstheme="minorBidi" w:eastAsia="Calibri" w:eastAsiaTheme="minorEastAsia" w:hAnsi="Calibri" w:hAnsiTheme="minorHAnsi"/>
        <w:sz w:val="22"/>
        <w:szCs w:val="22"/>
        <w:lang w:bidi="ar-SA" w:eastAsia="zh-CN" w:val="en-US"/>
        <w:color w:val="000000"/>
      </w:rPr>
    </w:rPrDefault>
    <w:pPrDefault>
      <w:pPr>
        <w:spacing w:after="120" w:before="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  <w:widowControl/>
    </w:pPr>
    <w:rPr>
      <w:rFonts w:ascii="Calibri" w:cs="Calibri" w:eastAsia="Calibri" w:hAnsi="Calibri"/>
      <w:sz w:val="22"/>
      <w:szCs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0" w:line="276" w:lineRule="auto"/>
      <w:contextualSpacing/>
      <w:jc w:val="center"/>
      <w:keepNext/>
      <w:widowControl/>
    </w:pPr>
    <w:rPr>
      <w:rFonts w:ascii="Calibri" w:asciiTheme="majorHAnsi" w:cs="Calibri" w:cstheme="majorBidi" w:eastAsia="Calibri" w:eastAsiaTheme="majorEastAsia" w:hAnsi="Calibri" w:hAnsiTheme="majorHAnsi"/>
      <w:sz w:val="46"/>
      <w:szCs w:val="46"/>
      <w:color w:val="000000"/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80" w:before="0" w:line="280" w:lineRule="auto"/>
      <w:jc w:val="center"/>
      <w:keepNext/>
      <w:widowControl/>
    </w:pPr>
    <w:rPr>
      <w:rFonts w:ascii="Calibri" w:cs="Calibri" w:cstheme="majorBidi" w:eastAsia="Calibri" w:eastAsiaTheme="majorEastAsia" w:hAnsi="Calibri"/>
      <w:spacing w:val="15"/>
      <w:sz w:val="28"/>
      <w:szCs w:val="28"/>
      <w:color w:val="555555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20" w:line="264" w:lineRule="auto"/>
      <w:outlineLvl w:val="0"/>
      <w:widowControl/>
    </w:pPr>
    <w:rPr>
      <w:rFonts w:ascii="Calibri" w:asciiTheme="majorHAnsi" w:cs="Calibri" w:cstheme="majorBidi" w:eastAsia="Calibri" w:eastAsiaTheme="majorEastAsia" w:hAnsi="Calibri" w:hAnsiTheme="majorHAnsi"/>
      <w:color w:themeColor="accent1" w:themeShade="BF" w:val="2E74B5"/>
      <w:sz w:val="32"/>
      <w:szCs w:val="32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64" w:lineRule="auto"/>
      <w:outlineLvl w:val="1"/>
      <w:widowControl/>
    </w:pPr>
    <w:rPr>
      <w:rFonts w:ascii="Calibri" w:asciiTheme="majorHAnsi" w:cs="Calibri" w:cstheme="majorBidi" w:eastAsia="Calibri" w:eastAsiaTheme="majorEastAsia" w:hAnsi="Calibri" w:hAnsiTheme="majorHAnsi"/>
      <w:color w:themeColor="accent1" w:themeShade="BF" w:val="2E74B5"/>
      <w:sz w:val="26"/>
      <w:szCs w:val="26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64" w:lineRule="auto"/>
      <w:outlineLvl w:val="2"/>
      <w:widowControl/>
    </w:pPr>
    <w:rPr>
      <w:rFonts w:ascii="Calibri" w:cs="Calibri" w:cstheme="majorBidi" w:eastAsia="Calibri" w:eastAsiaTheme="majorEastAsia" w:hAnsi="Calibri"/>
      <w:color w:themeColor="accent1" w:themeShade="BF" w:val="1F4D78"/>
      <w:sz w:val="24"/>
      <w:szCs w:val="24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80" w:line="280" w:lineRule="auto"/>
      <w:ind w:firstLine="0" w:left="480" w:right="480"/>
      <w:widowControl/>
    </w:pPr>
    <w:rPr>
      <w:rFonts w:ascii="Calibri" w:cs="Calibri" w:eastAsia="Calibri" w:hAnsi="Calibri"/>
      <w:sz w:val="22"/>
      <w:szCs w:val="22"/>
      <w:color w:val="333333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80" w:line="240" w:lineRule="auto"/>
      <w:jc w:val="center"/>
      <w:widowControl/>
    </w:pPr>
    <w:rPr>
      <w:i/>
      <w:rFonts w:ascii="Calibri" w:cs="Calibri" w:eastAsia="Calibri" w:hAnsi="Calibri"/>
      <w:sz w:val="18"/>
      <w:szCs w:val="18"/>
      <w:color w:val="555555"/>
      <w:iCs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120" w:before="80" w:line="240" w:lineRule="auto"/>
      <w:jc w:val="center"/>
      <w:widowControl/>
    </w:pPr>
    <w:rPr>
      <w:rFonts w:ascii="Calibri" w:cs="Calibri" w:eastAsia="Calibri" w:hAnsi="Calibri"/>
      <w:sz w:val="18"/>
      <w:szCs w:val="18"/>
      <w:color w:val="555555"/>
      <w:i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Id="rIdRefereeHeader" Type="http://schemas.openxmlformats.org/officeDocument/2006/relationships/header" Target="header1.xml" /><Relationship Id="rIdRefereeFooter" Type="http://schemas.openxmlformats.org/officeDocument/2006/relationships/footer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Referee Report</dc:title>
  <dc:creator/>
  <cp:keywords/>
  <dcterms:created xsi:type="dcterms:W3CDTF">2026-08-12T17:08:43Z</dcterms:created>
  <dcterms:modified xsi:type="dcterms:W3CDTF">2026-08-12T17:08:43Z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Review of the July 25, 2025 draft</vt:lpwstr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header-includes">
    <vt:lpwstr/>
  </property>
  <property fmtid="{D5CDD505-2E9C-101B-9397-08002B2CF9AE}" pid="7" name="linkcolor">
    <vt:lpwstr>1F4D78</vt:lpwstr>
  </property>
  <property fmtid="{D5CDD505-2E9C-101B-9397-08002B2CF9AE}" pid="8" name="mainfont">
    <vt:lpwstr>Times New Roman</vt:lpwstr>
  </property>
  <property fmtid="{D5CDD505-2E9C-101B-9397-08002B2CF9AE}" pid="9" name="mathfont">
    <vt:lpwstr>STIX Two Math</vt:lpwstr>
  </property>
  <property fmtid="{D5CDD505-2E9C-101B-9397-08002B2CF9AE}" pid="10" name="papersize">
    <vt:lpwstr>letter</vt:lpwstr>
  </property>
  <property fmtid="{D5CDD505-2E9C-101B-9397-08002B2CF9AE}" pid="11" name="subtitle">
    <vt:lpwstr>The Saving Glut of the Rich</vt:lpwstr>
  </property>
  <property fmtid="{D5CDD505-2E9C-101B-9397-08002B2CF9AE}" pid="12" name="urlcolor">
    <vt:lpwstr>1F4D78</vt:lpwstr>
  </property>
</Properties>
</file>