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RMI Theorie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Welche Rolle spielt Stub?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Auf der Clientseite kümmert sich der Stub um den Netzwerktransport. Er kann/muss lokal oder über das Netz für den Client verfügbar sein. Ab der Java 2 Standard Edition (J2SE) wird das Erstellen des Stubs von der Java Virtual Machine übernommen, vorher war des Stub eine vom RMI-Compiler erzeugte Klasse. 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Welche Rolle spielt das Skeleton?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Das Skeleton wird vom Server verwendet und verarbeitet Anfragen.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Was ist: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codebase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Definiert Name und Lokation der Hauptklasse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IP-Adresse des Servers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useCodebaseOnly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Ist für das Laden der Codebase zuständig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security.policy</w:t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Dort können Policy-Datei eingebunden werden, welche für Rechte und Sicherung zuständig sein können.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SecurityManagers.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Prüft, ob eine Klasse eine Operation durchführen darf, kontrolliert Zugriffe, hat aber Sicherheitslücken.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Wie Müssen RMI-Programme ausgeführt werden?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/>
      </w:pPr>
      <w:r w:rsidDel="00000000" w:rsidR="00000000" w:rsidRPr="00000000">
        <w:drawing>
          <wp:inline distB="114300" distT="114300" distL="114300" distR="114300">
            <wp:extent cx="5731200" cy="349250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Als erstes muss die Registry gestartet werden, dort kann sich der Server “registrieren”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Nachher wird der Server gestartet, der Operationen zur Verfügung stellt.</w:t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Danach kann der Client diese Operationen nutzen.</w:t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gif"/><Relationship Id="rId6" Type="http://schemas.openxmlformats.org/officeDocument/2006/relationships/footer" Target="footer1.xml"/></Relationships>
</file>