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2574" w14:textId="77777777" w:rsidR="00DD047A" w:rsidRPr="00DD047A" w:rsidRDefault="00DD047A" w:rsidP="00DD047A">
      <w:pPr>
        <w:jc w:val="center"/>
        <w:rPr>
          <w:rFonts w:ascii="Noto Sans" w:hAnsi="Noto Sans" w:cs="Noto Sans"/>
          <w:i/>
          <w:iCs/>
          <w:sz w:val="36"/>
          <w:szCs w:val="36"/>
        </w:rPr>
      </w:pPr>
      <w:r w:rsidRPr="00DD047A">
        <w:rPr>
          <w:rFonts w:ascii="Noto Sans" w:hAnsi="Noto Sans" w:cs="Noto Sans"/>
          <w:i/>
          <w:iCs/>
          <w:sz w:val="36"/>
          <w:szCs w:val="36"/>
        </w:rPr>
        <w:t>Pricing Illiquidity in Strategic Asset Allocation:</w:t>
      </w:r>
    </w:p>
    <w:p w14:paraId="598BDAC4" w14:textId="77777777" w:rsidR="00DD047A" w:rsidRPr="00DD047A" w:rsidRDefault="00DD047A" w:rsidP="00DD047A">
      <w:pPr>
        <w:jc w:val="center"/>
        <w:rPr>
          <w:rFonts w:ascii="Noto Sans" w:hAnsi="Noto Sans" w:cs="Noto Sans"/>
          <w:i/>
          <w:iCs/>
          <w:sz w:val="36"/>
          <w:szCs w:val="36"/>
        </w:rPr>
      </w:pPr>
      <w:r w:rsidRPr="00DD047A">
        <w:rPr>
          <w:rFonts w:ascii="Noto Sans" w:hAnsi="Noto Sans" w:cs="Noto Sans"/>
          <w:i/>
          <w:iCs/>
          <w:sz w:val="36"/>
          <w:szCs w:val="36"/>
        </w:rPr>
        <w:t>A Calibration Framework for Practitioners</w:t>
      </w:r>
    </w:p>
    <w:p w14:paraId="76DCC5A7" w14:textId="77777777" w:rsidR="00DD047A" w:rsidRDefault="00DD047A" w:rsidP="00DD047A">
      <w:pPr>
        <w:jc w:val="center"/>
        <w:rPr>
          <w:rFonts w:ascii="Noto Sans" w:hAnsi="Noto Sans" w:cs="Noto Sans"/>
          <w:sz w:val="32"/>
          <w:szCs w:val="32"/>
        </w:rPr>
      </w:pPr>
    </w:p>
    <w:p w14:paraId="7CBBBE72" w14:textId="66FE2FBA" w:rsidR="00DD047A" w:rsidRPr="00DD047A" w:rsidRDefault="00DD047A" w:rsidP="00DD047A">
      <w:pPr>
        <w:rPr>
          <w:rFonts w:ascii="Noto Sans" w:hAnsi="Noto Sans" w:cs="Noto Sans"/>
        </w:rPr>
      </w:pPr>
      <w:r w:rsidRPr="00DD047A">
        <w:rPr>
          <w:rFonts w:ascii="Noto Sans" w:hAnsi="Noto Sans" w:cs="Noto Sans"/>
        </w:rPr>
        <w:t>Institutional investors allocating to private markets face a fundamental challenge that standard mean-variance optimization fails to address. A portfolio heavily invested in private equity or real estate cannot rebalance freely when market conditions change, may be forced to sell illiquid positions at a significant discount on the secondary market to meet payout obligations or maintain a minimum liquidity buffer, and loses the flexibility to exploit new investment opportunities as they arise. These costs are not captured by the illiquidity premium embedded in expected returns, and they grow with the degree of portfolio illiquidity</w:t>
      </w:r>
      <w:r>
        <w:rPr>
          <w:rFonts w:ascii="Noto Sans" w:hAnsi="Noto Sans" w:cs="Noto Sans"/>
        </w:rPr>
        <w:t>.</w:t>
      </w:r>
    </w:p>
    <w:p w14:paraId="498614DF" w14:textId="77777777" w:rsidR="00DD047A" w:rsidRPr="00DD047A" w:rsidRDefault="00DD047A" w:rsidP="00DD047A">
      <w:pPr>
        <w:rPr>
          <w:rFonts w:ascii="Noto Sans" w:hAnsi="Noto Sans" w:cs="Noto Sans"/>
        </w:rPr>
      </w:pPr>
    </w:p>
    <w:p w14:paraId="37DB99C9" w14:textId="4079E6DC" w:rsidR="00DD047A" w:rsidRPr="00DD047A" w:rsidRDefault="00DD047A" w:rsidP="00DD047A">
      <w:pPr>
        <w:rPr>
          <w:rFonts w:ascii="Noto Sans" w:hAnsi="Noto Sans" w:cs="Noto Sans"/>
        </w:rPr>
      </w:pPr>
      <w:r w:rsidRPr="00DD047A">
        <w:rPr>
          <w:rFonts w:ascii="Noto Sans" w:hAnsi="Noto Sans" w:cs="Noto Sans"/>
        </w:rPr>
        <w:t xml:space="preserve">Hayes, </w:t>
      </w:r>
      <w:proofErr w:type="spellStart"/>
      <w:r w:rsidRPr="00DD047A">
        <w:rPr>
          <w:rFonts w:ascii="Noto Sans" w:hAnsi="Noto Sans" w:cs="Noto Sans"/>
        </w:rPr>
        <w:t>Primbs</w:t>
      </w:r>
      <w:proofErr w:type="spellEnd"/>
      <w:r w:rsidRPr="00DD047A">
        <w:rPr>
          <w:rFonts w:ascii="Noto Sans" w:hAnsi="Noto Sans" w:cs="Noto Sans"/>
        </w:rPr>
        <w:t xml:space="preserve"> and </w:t>
      </w:r>
      <w:proofErr w:type="spellStart"/>
      <w:r w:rsidRPr="00DD047A">
        <w:rPr>
          <w:rFonts w:ascii="Noto Sans" w:hAnsi="Noto Sans" w:cs="Noto Sans"/>
        </w:rPr>
        <w:t>Chiquoine</w:t>
      </w:r>
      <w:proofErr w:type="spellEnd"/>
      <w:r w:rsidRPr="00DD047A">
        <w:rPr>
          <w:rFonts w:ascii="Noto Sans" w:hAnsi="Noto Sans" w:cs="Noto Sans"/>
        </w:rPr>
        <w:t xml:space="preserve"> (2015) address this gap by modifying the mean-variance objective to include a portfolio-level illiquidity penalty. Rather than constraining the allocation to illiquid assets directly, their approach subtracts an accumulated penalty term from the standard mean-variance objective, where the penalty is derived from a marginal cost curve that captures how much each additional unit of illiquidity costs the portfolio given its current illiquidity level. The marginal cost curve is increasing and convex, and the penalty enters the optimization in the same spirit as the variance term, acting as a continuous and differentiable deterrent against excessive illiquid allocations rather than a hard constraint. The result is a penalized efficient frontier that reflects the investor's true liquidity preferences, and a set of illiquidity-adjusted expected returns that can be communicated naturally in the language of return premiums. The critical limitation of the original framework, however, is that the identification of the penalty curve is left to subjective judgement, undermining its credibility as a rigorous tool for institutional decision-making.</w:t>
      </w:r>
    </w:p>
    <w:p w14:paraId="7EA787A3" w14:textId="77777777" w:rsidR="00DD047A" w:rsidRPr="00DD047A" w:rsidRDefault="00DD047A" w:rsidP="00DD047A">
      <w:pPr>
        <w:rPr>
          <w:rFonts w:ascii="Noto Sans" w:hAnsi="Noto Sans" w:cs="Noto Sans"/>
        </w:rPr>
      </w:pPr>
    </w:p>
    <w:p w14:paraId="7C0B6D53" w14:textId="7FCE93B7" w:rsidR="00DD047A" w:rsidRPr="00DD047A" w:rsidRDefault="00DD047A" w:rsidP="00DD047A">
      <w:pPr>
        <w:rPr>
          <w:rFonts w:ascii="Noto Sans" w:hAnsi="Noto Sans" w:cs="Noto Sans"/>
        </w:rPr>
      </w:pPr>
      <w:r w:rsidRPr="00DD047A">
        <w:rPr>
          <w:rFonts w:ascii="Noto Sans" w:hAnsi="Noto Sans" w:cs="Noto Sans"/>
        </w:rPr>
        <w:t xml:space="preserve">This paper addresses this gap by proposing a simulation-based calibration methodology for the marginal illiquidity penalty curve. The framework simulates a portfolio subject to asset-specific lock-up constraints and a minimum liquidity buffer. Each year, the portfolio generates returns but must also meet a stochastic payout obligation. From this dynamic arise the three sources of illiquidity cost that the </w:t>
      </w:r>
      <w:r w:rsidRPr="00DD047A">
        <w:rPr>
          <w:rFonts w:ascii="Noto Sans" w:hAnsi="Noto Sans" w:cs="Noto Sans"/>
        </w:rPr>
        <w:lastRenderedPageBreak/>
        <w:t xml:space="preserve">simulation measures: the return gap from the inability to rebalance freely, haircuts paid on secondary market sales needed to restore the liquidity buffer, and haircuts on locked positions liquidated to meet the payout. The difference in realised return between the constrained portfolio and a frictionless liquid benchmark, averaged across </w:t>
      </w:r>
      <w:r w:rsidRPr="00DD047A">
        <w:rPr>
          <w:rFonts w:ascii="Noto Sans" w:hAnsi="Noto Sans" w:cs="Noto Sans"/>
        </w:rPr>
        <w:t>many</w:t>
      </w:r>
      <w:r w:rsidRPr="00DD047A">
        <w:rPr>
          <w:rFonts w:ascii="Noto Sans" w:hAnsi="Noto Sans" w:cs="Noto Sans"/>
        </w:rPr>
        <w:t xml:space="preserve"> scenarios, yields an estimate of the annualised illiquidity cost at each portfolio illiquidity level. These estimates are then fitted to a parametric penalty function, recovering a calibrated marginal cost curve grounded in portfolio dynamics rather than subjective assessment.</w:t>
      </w:r>
    </w:p>
    <w:p w14:paraId="5D6E05C2" w14:textId="77777777" w:rsidR="00DD047A" w:rsidRPr="00DD047A" w:rsidRDefault="00DD047A" w:rsidP="00DD047A">
      <w:pPr>
        <w:rPr>
          <w:rFonts w:ascii="Noto Sans" w:hAnsi="Noto Sans" w:cs="Noto Sans"/>
        </w:rPr>
      </w:pPr>
    </w:p>
    <w:p w14:paraId="60DFC003" w14:textId="51AB2650" w:rsidR="00DD047A" w:rsidRPr="00DD047A" w:rsidRDefault="00DD047A" w:rsidP="00DD047A">
      <w:pPr>
        <w:rPr>
          <w:rFonts w:ascii="Noto Sans" w:hAnsi="Noto Sans" w:cs="Noto Sans"/>
        </w:rPr>
      </w:pPr>
      <w:r w:rsidRPr="00DD047A">
        <w:rPr>
          <w:rFonts w:ascii="Noto Sans" w:hAnsi="Noto Sans" w:cs="Noto Sans"/>
        </w:rPr>
        <w:t>The framework is applied to three institutional investor archetypes using Amundi's Capital Market Assumptions</w:t>
      </w:r>
      <w:r>
        <w:rPr>
          <w:rFonts w:ascii="Noto Sans" w:hAnsi="Noto Sans" w:cs="Noto Sans"/>
        </w:rPr>
        <w:t xml:space="preserve"> (CMAs)</w:t>
      </w:r>
      <w:r w:rsidRPr="00DD047A">
        <w:rPr>
          <w:rFonts w:ascii="Noto Sans" w:hAnsi="Noto Sans" w:cs="Noto Sans"/>
        </w:rPr>
        <w:t>, which provide the expected returns, volatilities,</w:t>
      </w:r>
      <w:r>
        <w:rPr>
          <w:rFonts w:ascii="Noto Sans" w:hAnsi="Noto Sans" w:cs="Noto Sans"/>
        </w:rPr>
        <w:t xml:space="preserve"> illiquidity scores and </w:t>
      </w:r>
      <w:r w:rsidRPr="00DD047A">
        <w:rPr>
          <w:rFonts w:ascii="Noto Sans" w:hAnsi="Noto Sans" w:cs="Noto Sans"/>
        </w:rPr>
        <w:t xml:space="preserve">correlations for the asset universe considered. The </w:t>
      </w:r>
      <w:r>
        <w:rPr>
          <w:rFonts w:ascii="Noto Sans" w:hAnsi="Noto Sans" w:cs="Noto Sans"/>
        </w:rPr>
        <w:t>CMAs</w:t>
      </w:r>
      <w:r w:rsidRPr="00DD047A">
        <w:rPr>
          <w:rFonts w:ascii="Noto Sans" w:hAnsi="Noto Sans" w:cs="Noto Sans"/>
        </w:rPr>
        <w:t xml:space="preserve"> </w:t>
      </w:r>
      <w:r w:rsidRPr="00DD047A">
        <w:rPr>
          <w:rFonts w:ascii="Noto Sans" w:hAnsi="Noto Sans" w:cs="Noto Sans"/>
        </w:rPr>
        <w:t>play a central role in shaping both the target portfolios used in the simulation and the penalized efficient frontiers that result from the optimization, ensuring that the calibrated curves are consistent with Amundi's forward-looking view of asset class risk and return. Three archetypes are considered: a complementary pension fund, a university endowment, and a family office. Results show that the calibrated penalty curves differ substantially across archetypes in both level and curvature, reflecting genuine differences in payout dynamics, liability structure, and liquidity constraints. For the pension fund and endowment, the simulation assigns a significantly more convex cost profile than subjective calibration would suggest, with illiquidity costs accelerating sharply once the portfolio illiquid allocation exceeds a threshold. For the family office, costs remain modest even at high illiquidity levels, consistent with the absence of binding payout obligations.</w:t>
      </w:r>
    </w:p>
    <w:p w14:paraId="02D61972" w14:textId="77777777" w:rsidR="00DD047A" w:rsidRPr="00DD047A" w:rsidRDefault="00DD047A" w:rsidP="00DD047A">
      <w:pPr>
        <w:rPr>
          <w:rFonts w:ascii="Noto Sans" w:hAnsi="Noto Sans" w:cs="Noto Sans"/>
        </w:rPr>
      </w:pPr>
    </w:p>
    <w:p w14:paraId="6FC0B395" w14:textId="2DE9A042" w:rsidR="00DD047A" w:rsidRPr="00DD047A" w:rsidRDefault="00DD047A" w:rsidP="00DD047A">
      <w:pPr>
        <w:rPr>
          <w:rFonts w:ascii="Noto Sans" w:hAnsi="Noto Sans" w:cs="Noto Sans"/>
        </w:rPr>
      </w:pPr>
      <w:r w:rsidRPr="00DD047A">
        <w:rPr>
          <w:rFonts w:ascii="Noto Sans" w:hAnsi="Noto Sans" w:cs="Noto Sans"/>
        </w:rPr>
        <w:t>When the calibrated curves are used as inputs to the penalized mean-variance optimization, the results have direct implications for portfolio construction. In net return space, defined as expected return net of the accumulated illiquidity penalty, the penalized frontier dominates the unpenalized one across all archetypes, and the gap widens substantially at high volatility levels for the most liquidity-constrained investors. An investor who ignores these costs and targets a high gross return by concentrating in illiquid assets will achieve a meaningfully lower net return than one who prices illiquidity correctly, even at the same level of portfolio risk. These results provide a quantitative foundation for discussing illiquid asset allocation, replacing ad hoc constraints with a transparent, investor-specific cost curve that can be integrated directly into a strategic asset allocation pipeline.</w:t>
      </w:r>
    </w:p>
    <w:sectPr w:rsidR="00DD047A" w:rsidRPr="00DD047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oto Sans">
    <w:panose1 w:val="020B0502040504020204"/>
    <w:charset w:val="00"/>
    <w:family w:val="swiss"/>
    <w:pitch w:val="variable"/>
    <w:sig w:usb0="E00002FF" w:usb1="4000201F" w:usb2="0800002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7A"/>
    <w:rsid w:val="006D1B99"/>
    <w:rsid w:val="00DD047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E95C"/>
  <w15:chartTrackingRefBased/>
  <w15:docId w15:val="{2E76A89B-95AC-42C0-AE0B-60BCBC4C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7A"/>
    <w:rPr>
      <w:rFonts w:eastAsiaTheme="majorEastAsia" w:cstheme="majorBidi"/>
      <w:color w:val="272727" w:themeColor="text1" w:themeTint="D8"/>
    </w:rPr>
  </w:style>
  <w:style w:type="paragraph" w:styleId="Title">
    <w:name w:val="Title"/>
    <w:basedOn w:val="Normal"/>
    <w:next w:val="Normal"/>
    <w:link w:val="TitleChar"/>
    <w:uiPriority w:val="10"/>
    <w:qFormat/>
    <w:rsid w:val="00DD0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7A"/>
    <w:pPr>
      <w:spacing w:before="160"/>
      <w:jc w:val="center"/>
    </w:pPr>
    <w:rPr>
      <w:i/>
      <w:iCs/>
      <w:color w:val="404040" w:themeColor="text1" w:themeTint="BF"/>
    </w:rPr>
  </w:style>
  <w:style w:type="character" w:customStyle="1" w:styleId="QuoteChar">
    <w:name w:val="Quote Char"/>
    <w:basedOn w:val="DefaultParagraphFont"/>
    <w:link w:val="Quote"/>
    <w:uiPriority w:val="29"/>
    <w:rsid w:val="00DD047A"/>
    <w:rPr>
      <w:i/>
      <w:iCs/>
      <w:color w:val="404040" w:themeColor="text1" w:themeTint="BF"/>
    </w:rPr>
  </w:style>
  <w:style w:type="paragraph" w:styleId="ListParagraph">
    <w:name w:val="List Paragraph"/>
    <w:basedOn w:val="Normal"/>
    <w:uiPriority w:val="34"/>
    <w:qFormat/>
    <w:rsid w:val="00DD047A"/>
    <w:pPr>
      <w:ind w:left="720"/>
      <w:contextualSpacing/>
    </w:pPr>
  </w:style>
  <w:style w:type="character" w:styleId="IntenseEmphasis">
    <w:name w:val="Intense Emphasis"/>
    <w:basedOn w:val="DefaultParagraphFont"/>
    <w:uiPriority w:val="21"/>
    <w:qFormat/>
    <w:rsid w:val="00DD047A"/>
    <w:rPr>
      <w:i/>
      <w:iCs/>
      <w:color w:val="0F4761" w:themeColor="accent1" w:themeShade="BF"/>
    </w:rPr>
  </w:style>
  <w:style w:type="paragraph" w:styleId="IntenseQuote">
    <w:name w:val="Intense Quote"/>
    <w:basedOn w:val="Normal"/>
    <w:next w:val="Normal"/>
    <w:link w:val="IntenseQuoteChar"/>
    <w:uiPriority w:val="30"/>
    <w:qFormat/>
    <w:rsid w:val="00DD0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47A"/>
    <w:rPr>
      <w:i/>
      <w:iCs/>
      <w:color w:val="0F4761" w:themeColor="accent1" w:themeShade="BF"/>
    </w:rPr>
  </w:style>
  <w:style w:type="character" w:styleId="IntenseReference">
    <w:name w:val="Intense Reference"/>
    <w:basedOn w:val="DefaultParagraphFont"/>
    <w:uiPriority w:val="32"/>
    <w:qFormat/>
    <w:rsid w:val="00DD0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Meloncelli Lorenzo (AMUNDI.ITA)</dc:creator>
  <cp:keywords/>
  <dc:description/>
  <cp:lastModifiedBy>Meloncelli Lorenzo (AMUNDI.ITA)</cp:lastModifiedBy>
  <cp:revision>1</cp:revision>
  <dcterms:created xsi:type="dcterms:W3CDTF">2026-09-08T12:41:00Z</dcterms:created>
  <dcterms:modified xsi:type="dcterms:W3CDTF">2026-09-08T12:49:00Z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83b941-8ea7-4241-901e-c2d3d23093c7_Enabled">
    <vt:lpwstr>true</vt:lpwstr>
  </property>
  <property fmtid="{D5CDD505-2E9C-101B-9397-08002B2CF9AE}" pid="3" name="MSIP_Label_b883b941-8ea7-4241-901e-c2d3d23093c7_SetDate">
    <vt:lpwstr>2026-09-08T12:49:02Z</vt:lpwstr>
  </property>
  <property fmtid="{D5CDD505-2E9C-101B-9397-08002B2CF9AE}" pid="4" name="MSIP_Label_b883b941-8ea7-4241-901e-c2d3d23093c7_Method">
    <vt:lpwstr>Privileged</vt:lpwstr>
  </property>
  <property fmtid="{D5CDD505-2E9C-101B-9397-08002B2CF9AE}" pid="5" name="MSIP_Label_b883b941-8ea7-4241-901e-c2d3d23093c7_Name">
    <vt:lpwstr>C1</vt:lpwstr>
  </property>
  <property fmtid="{D5CDD505-2E9C-101B-9397-08002B2CF9AE}" pid="6" name="MSIP_Label_b883b941-8ea7-4241-901e-c2d3d23093c7_SiteId">
    <vt:lpwstr>a5c34232-eadc-4609-bff3-dd6fcdae3fe2</vt:lpwstr>
  </property>
  <property fmtid="{D5CDD505-2E9C-101B-9397-08002B2CF9AE}" pid="7" name="MSIP_Label_b883b941-8ea7-4241-901e-c2d3d23093c7_ActionId">
    <vt:lpwstr>43775b5f-be26-4a6f-a6d9-26d78488f3de</vt:lpwstr>
  </property>
  <property fmtid="{D5CDD505-2E9C-101B-9397-08002B2CF9AE}" pid="8" name="MSIP_Label_b883b941-8ea7-4241-901e-c2d3d23093c7_ContentBits">
    <vt:lpwstr>0</vt:lpwstr>
  </property>
  <property fmtid="{D5CDD505-2E9C-101B-9397-08002B2CF9AE}" pid="9" name="MSIP_Label_b883b941-8ea7-4241-901e-c2d3d23093c7_Tag">
    <vt:lpwstr>10, 0, 1, 1</vt:lpwstr>
  </property>
</Properties>
</file>