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577215</wp:posOffset>
            </wp:positionH>
            <wp:positionV relativeFrom="page">
              <wp:posOffset>2936178</wp:posOffset>
            </wp:positionV>
            <wp:extent cx="6175105" cy="3145535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5105" cy="3145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Ind w:w="-420.0" w:type="dxa"/>
        <w:tblLayout w:type="fixed"/>
        <w:tblLook w:val="0000"/>
      </w:tblPr>
      <w:tblGrid>
        <w:gridCol w:w="1920"/>
        <w:gridCol w:w="6600"/>
        <w:gridCol w:w="1320"/>
        <w:tblGridChange w:id="0">
          <w:tblGrid>
            <w:gridCol w:w="1920"/>
            <w:gridCol w:w="6600"/>
            <w:gridCol w:w="1320"/>
          </w:tblGrid>
        </w:tblGridChange>
      </w:tblGrid>
      <w:tr>
        <w:trPr>
          <w:cantSplit w:val="1"/>
          <w:trHeight w:val="10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LABORATORIO DI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TELECOMUNICAZIONI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PORTA NAND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RELAZIONE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 3</w:t>
            </w:r>
            <w:r w:rsidDel="00000000" w:rsidR="00000000" w:rsidRPr="00000000">
              <w:rPr>
                <w:b w:val="1"/>
                <w:rtl w:val="0"/>
              </w:rPr>
              <w:t xml:space="preserve">°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GRUPPO: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Canale andrea e Rizzolo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Lorenzo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13.04.2022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0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78.0" w:type="dxa"/>
              <w:jc w:val="left"/>
              <w:tblLayout w:type="fixed"/>
              <w:tblLook w:val="0000"/>
            </w:tblPr>
            <w:tblGrid>
              <w:gridCol w:w="9578"/>
              <w:tblGridChange w:id="0">
                <w:tblGrid>
                  <w:gridCol w:w="957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ESERCITAZIONE:  </w:t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25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SCHEMI REALIZZATI TRAMITE SOFTWARE (Unifilari, Principio, Montaggio):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</w:rPr>
                    <w:drawing>
                      <wp:inline distB="114300" distT="114300" distL="114300" distR="114300">
                        <wp:extent cx="5953125" cy="3340100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53125" cy="3340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0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DISTINTA MATERIALE E CARATTERISTICHE TECNICHE DEI COMPONENTI: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Porta logica NAND.</w:t>
                  </w:r>
                </w:p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sz w:val="24"/>
                      <w:szCs w:val="24"/>
                      <w:u w:val="no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fili per breadbord.</w:t>
                  </w:r>
                </w:p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sz w:val="24"/>
                      <w:szCs w:val="24"/>
                      <w:u w:val="no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breadbord.</w:t>
                  </w:r>
                </w:p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sz w:val="24"/>
                      <w:szCs w:val="24"/>
                      <w:u w:val="no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led.</w:t>
                  </w:r>
                </w:p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sz w:val="24"/>
                      <w:szCs w:val="24"/>
                      <w:u w:val="no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pulsanti.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578.0" w:type="dxa"/>
              <w:jc w:val="left"/>
              <w:tblLayout w:type="fixed"/>
              <w:tblLook w:val="0000"/>
            </w:tblPr>
            <w:tblGrid>
              <w:gridCol w:w="9578"/>
              <w:tblGridChange w:id="0">
                <w:tblGrid>
                  <w:gridCol w:w="9578"/>
                </w:tblGrid>
              </w:tblGridChange>
            </w:tblGrid>
            <w:tr>
              <w:trPr>
                <w:cantSplit w:val="0"/>
                <w:trHeight w:val="694.863281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FORMULE ADOPERATE:</w:t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2"/>
                      <w:szCs w:val="22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u w:val="single"/>
                      <w:rtl w:val="0"/>
                    </w:rPr>
                    <w:t xml:space="preserve">x*y = !z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98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LEGENDA SIMBOLI: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 y z(uscita)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0 0 1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0 1 1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1 0 1</w:t>
                  </w:r>
                </w:p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1 1 0</w:t>
                  </w:r>
                </w:p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5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RELAZIONE TECNICA: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Abbiamo montato tutto il necessario sulla breadbord e collegato i cavi dell’alimentatore sul circuito.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accendere il led premi i pulsanti, andranno a cambiare lo stato con la porta logica. </w:t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578.0" w:type="dxa"/>
              <w:jc w:val="left"/>
              <w:tblLayout w:type="fixed"/>
              <w:tblLook w:val="0000"/>
            </w:tblPr>
            <w:tblGrid>
              <w:gridCol w:w="9578"/>
              <w:tblGridChange w:id="0">
                <w:tblGrid>
                  <w:gridCol w:w="9578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13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OSSERVAZIONI DA PARTE DEL DOCENTE: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899" w:top="1417" w:left="1134" w:right="1134" w:header="72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