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Options Pricer - Documentation Complète</w:t>
      </w:r>
    </w:p>
    <w:p>
      <w:r>
        <w:t>Projet développé from scratch. Ce document explique l'intégralité des choix techniques, des modèles et des conventions utilisés.</w:t>
      </w:r>
    </w:p>
    <w:p>
      <w:pPr>
        <w:pStyle w:val="Heading1"/>
      </w:pPr>
      <w:r>
        <w:t>1. Introduction et objectifs</w:t>
      </w:r>
    </w:p>
    <w:p>
      <w:r>
        <w:t>Ce pricer d'options a été développé dans le cadre d'un projet personnel visant à maîtriser les modèles de pricing d'options et leur implémentation. L'objectif est de fournir un outil pédagogique et démonstratif couvrant plusieurs classes de produits : options vanilles, stratégies de volatilité, options barrières et swaps de taux.</w:t>
      </w:r>
    </w:p>
    <w:p>
      <w:r>
        <w:t>Le projet repose sur des données de marché live (Yahoo Finance) et implémente les modèles de référence utilisés en finance quantitative.</w:t>
      </w:r>
    </w:p>
    <w:p>
      <w:pPr>
        <w:pStyle w:val="Heading1"/>
      </w:pPr>
      <w:r>
        <w:t>2. Architecture du projet</w:t>
      </w:r>
    </w:p>
    <w:p>
      <w:r>
        <w:t>L'application est structurée en modules distincts :</w:t>
      </w:r>
    </w:p>
    <w:p>
      <w:pPr>
        <w:pStyle w:val="ListBullet"/>
      </w:pPr>
      <w:r>
        <w:rPr>
          <w:b/>
        </w:rPr>
        <w:t>core/</w:t>
      </w:r>
      <w:r>
        <w:t xml:space="preserve"> — Cœur quantitatif : Black-Scholes, Heston, solveur IV, courbes de taux</w:t>
      </w:r>
    </w:p>
    <w:p>
      <w:pPr>
        <w:pStyle w:val="ListBullet"/>
      </w:pPr>
      <w:r>
        <w:rPr>
          <w:b/>
        </w:rPr>
        <w:t>models/</w:t>
      </w:r>
      <w:r>
        <w:t xml:space="preserve"> — Modèles numériques : arbre binomial, Monte Carlo, surfaces SVI</w:t>
      </w:r>
    </w:p>
    <w:p>
      <w:pPr>
        <w:pStyle w:val="ListBullet"/>
      </w:pPr>
      <w:r>
        <w:rPr>
          <w:b/>
        </w:rPr>
        <w:t>instruments/</w:t>
      </w:r>
      <w:r>
        <w:t xml:space="preserve"> — Produits : options vanilles, barrières, swaps</w:t>
      </w:r>
    </w:p>
    <w:p>
      <w:pPr>
        <w:pStyle w:val="ListBullet"/>
      </w:pPr>
      <w:r>
        <w:rPr>
          <w:b/>
        </w:rPr>
        <w:t>data/</w:t>
      </w:r>
      <w:r>
        <w:t xml:space="preserve"> — Connecteur Yahoo Finance, nettoyage des chaînes d'options</w:t>
      </w:r>
    </w:p>
    <w:p>
      <w:pPr>
        <w:pStyle w:val="ListBullet"/>
      </w:pPr>
      <w:r>
        <w:rPr>
          <w:b/>
        </w:rPr>
        <w:t>services/</w:t>
      </w:r>
      <w:r>
        <w:t xml:space="preserve"> — Services métier : chargement marché, construction expirations</w:t>
      </w:r>
    </w:p>
    <w:p>
      <w:pPr>
        <w:pStyle w:val="ListBullet"/>
      </w:pPr>
      <w:r>
        <w:rPr>
          <w:b/>
        </w:rPr>
        <w:t>pages/</w:t>
      </w:r>
      <w:r>
        <w:t xml:space="preserve"> — Interface Streamlit : une page par produit</w:t>
      </w:r>
    </w:p>
    <w:p>
      <w:pPr>
        <w:pStyle w:val="Heading1"/>
      </w:pPr>
      <w:r>
        <w:t>3. Sources de données et conventions</w:t>
      </w:r>
    </w:p>
    <w:p>
      <w:pPr>
        <w:pStyle w:val="Heading2"/>
      </w:pPr>
      <w:r>
        <w:t>3.1 Yahoo Finance</w:t>
      </w:r>
    </w:p>
    <w:p>
      <w:r>
        <w:t>Yahoo Finance (via yfinance) a été choisi comme unique source de données pour plusieurs raisons :</w:t>
      </w:r>
    </w:p>
    <w:p>
      <w:pPr>
        <w:pStyle w:val="ListBullet"/>
      </w:pPr>
      <w:r>
        <w:t>• Gratuit et sans clé API : idéal pour un projet personnel et démo</w:t>
      </w:r>
    </w:p>
    <w:p>
      <w:pPr>
        <w:pStyle w:val="ListBullet"/>
      </w:pPr>
      <w:r>
        <w:t>• Données US complètes : spot, chaînes d'options (bid/ask, IV, volume, OI), historiques</w:t>
      </w:r>
    </w:p>
    <w:p>
      <w:pPr>
        <w:pStyle w:val="ListBullet"/>
      </w:pPr>
      <w:r>
        <w:t>• Courbe des taux : 4 points Treasury (^IRX 3M, ^FVX 5Y, ^TNX 10Y, ^TYX 30Y)</w:t>
      </w:r>
    </w:p>
    <w:p>
      <w:r>
        <w:t>Limitation : en production, un desk utiliserait Bloomberg ou Refinitiv pour des données institutionnelles et une meilleure qualité.</w:t>
      </w:r>
    </w:p>
    <w:p>
      <w:pPr>
        <w:pStyle w:val="Heading2"/>
      </w:pPr>
      <w:r>
        <w:t>3.2 Conventions de marché</w:t>
      </w:r>
    </w:p>
    <w:p>
      <w:r>
        <w:t>Pour les options equity vanilles, les conventions desk ont été adoptées :</w:t>
      </w:r>
    </w:p>
    <w:p>
      <w:pPr>
        <w:pStyle w:val="ListBullet"/>
      </w:pPr>
      <w:r>
        <w:t>• Horloge de maturité : jours calendaires (calendar days), pas jours ouvrés</w:t>
      </w:r>
    </w:p>
    <w:p>
      <w:pPr>
        <w:pStyle w:val="ListBullet"/>
      </w:pPr>
      <w:r>
        <w:t>• Day count : ACT/365 pour l'actualisation et le calcul de T</w:t>
      </w:r>
    </w:p>
    <w:p>
      <w:pPr>
        <w:pStyle w:val="ListBullet"/>
      </w:pPr>
      <w:r>
        <w:t>• T = jours_restants / 365</w:t>
      </w:r>
    </w:p>
    <w:p>
      <w:r>
        <w:t>Ces conventions sont standard pour les options equity sur actions US.</w:t>
      </w:r>
    </w:p>
    <w:p>
      <w:pPr>
        <w:pStyle w:val="Heading2"/>
      </w:pPr>
      <w:r>
        <w:t>3.3 Fenêtre de volatilité historique</w:t>
      </w:r>
    </w:p>
    <w:p>
      <w:r>
        <w:t>La volatilité historique est calculée sur une fenêtre adaptée à la maturité de l'option :</w:t>
      </w:r>
    </w:p>
    <w:p>
      <w:pPr>
        <w:pStyle w:val="ListBullet"/>
      </w:pPr>
      <w:r>
        <w:t>• &lt; 14 jours ouvrés → 10 jours ; &lt; 45j → 20j ; &lt; 90j → 60j ; &lt; 180j → 120j ; sinon 252j</w:t>
      </w:r>
    </w:p>
    <w:p>
      <w:r>
        <w:t>Cela permet d'aligner la volatilité réalisée avec l'horizon de l'option.</w:t>
      </w:r>
    </w:p>
    <w:p>
      <w:pPr>
        <w:pStyle w:val="Heading1"/>
      </w:pPr>
      <w:r>
        <w:t>4. Options vanilles - Modèles de pricing</w:t>
      </w:r>
    </w:p>
    <w:p>
      <w:pPr>
        <w:pStyle w:val="Heading2"/>
      </w:pPr>
      <w:r>
        <w:t>4.1 Black-Scholes-Merton (BSM)</w:t>
      </w:r>
    </w:p>
    <w:p>
      <w:r>
        <w:t>Modèle de référence pour les options européennes. Choix justifié par :</w:t>
      </w:r>
    </w:p>
    <w:p>
      <w:pPr>
        <w:pStyle w:val="ListBullet"/>
      </w:pPr>
      <w:r>
        <w:t>• Formules fermées : pricing et Greeks analytiques, rapides et stables</w:t>
      </w:r>
    </w:p>
    <w:p>
      <w:pPr>
        <w:pStyle w:val="ListBullet"/>
      </w:pPr>
      <w:r>
        <w:t>• Support des dividendes continus (dividend yield q) via Merton (1973)</w:t>
      </w:r>
    </w:p>
    <w:p>
      <w:pPr>
        <w:pStyle w:val="ListBullet"/>
      </w:pPr>
      <w:r>
        <w:t>• Base pour le solveur de volatilité implicite (IV) et le benchmark Monte Carlo</w:t>
      </w:r>
    </w:p>
    <w:p>
      <w:r>
        <w:t>Formules : d1 = [ln(S/K) + (r - q + 0.5σ²)T] / (σ√T), d2 = d1 - σ√T. Call = S·e^(-qT)·N(d1) - K·e^(-rT)·N(d2).</w:t>
      </w:r>
    </w:p>
    <w:p>
      <w:pPr>
        <w:pStyle w:val="Heading2"/>
      </w:pPr>
      <w:r>
        <w:t>4.2 Greeks (1er et 2nd ordre)</w:t>
      </w:r>
    </w:p>
    <w:p>
      <w:r>
        <w:t>Les Greeks sont implémentés pour le hedging et l'analyse de risque :</w:t>
      </w:r>
    </w:p>
    <w:p>
      <w:pPr>
        <w:pStyle w:val="ListBullet"/>
      </w:pPr>
      <w:r>
        <w:t>• 1er ordre : Delta, Gamma, Vega, Theta, Rho — sensibilités de base</w:t>
      </w:r>
    </w:p>
    <w:p>
      <w:pPr>
        <w:pStyle w:val="ListBullet"/>
      </w:pPr>
      <w:r>
        <w:t>• 2nd ordre : Vanna (dDelta/dVol), Volga (dVega/dVol), Charm (dDelta/dT), Speed, Color, Zomma</w:t>
      </w:r>
    </w:p>
    <w:p>
      <w:r>
        <w:t>Vanna et Charm sont essentiels pour le P&amp;L attribution (décomposition du P&amp;L en composantes).</w:t>
      </w:r>
    </w:p>
    <w:p>
      <w:pPr>
        <w:pStyle w:val="Heading2"/>
      </w:pPr>
      <w:r>
        <w:t>4.3 Solveur de volatilité implicite (IV)</w:t>
      </w:r>
    </w:p>
    <w:p>
      <w:r>
        <w:t>Pour retrouver l'IV à partir d'un prix de marché :</w:t>
      </w:r>
    </w:p>
    <w:p>
      <w:pPr>
        <w:pStyle w:val="ListBullet"/>
      </w:pPr>
      <w:r>
        <w:t>• Newton-Raphson en méthode principale (convergence quadratique, utilise la Vega comme dérivée)</w:t>
      </w:r>
    </w:p>
    <w:p>
      <w:pPr>
        <w:pStyle w:val="ListBullet"/>
      </w:pPr>
      <w:r>
        <w:t>• Fallback Brent : robuste, garantit la convergence si une solution existe</w:t>
      </w:r>
    </w:p>
    <w:p>
      <w:pPr>
        <w:pStyle w:val="ListBullet"/>
      </w:pPr>
      <w:r>
        <w:t>• Vérification des bornes no-arbitrage avant résolution</w:t>
      </w:r>
    </w:p>
    <w:p>
      <w:pPr>
        <w:pStyle w:val="Heading2"/>
      </w:pPr>
      <w:r>
        <w:t>4.4 Modèle de Heston (1993)</w:t>
      </w:r>
    </w:p>
    <w:p>
      <w:r>
        <w:t>Modèle à volatilité stochastique. Choix justifié par :</w:t>
      </w:r>
    </w:p>
    <w:p>
      <w:pPr>
        <w:pStyle w:val="ListBullet"/>
      </w:pPr>
      <w:r>
        <w:t>• Génère naturellement le smile et le skew de volatilité (contrairement à BSM à vol plate)</w:t>
      </w:r>
    </w:p>
    <w:p>
      <w:pPr>
        <w:pStyle w:val="ListBullet"/>
      </w:pPr>
      <w:r>
        <w:t>• Capture l'effet de levier : corrélation spot-vol négative (rho &lt; 0) pour les actions</w:t>
      </w:r>
    </w:p>
    <w:p>
      <w:pPr>
        <w:pStyle w:val="ListBullet"/>
      </w:pPr>
      <w:r>
        <w:t>• Mean-reversion de la variance : kappa (vitesse), theta (niveau long terme)</w:t>
      </w:r>
    </w:p>
    <w:p>
      <w:pPr>
        <w:pStyle w:val="ListBullet"/>
      </w:pPr>
      <w:r>
        <w:t>• Solution semi-analytique via inversion de Fourier (Lewis 2000) — rapide vs Monte Carlo</w:t>
      </w:r>
    </w:p>
    <w:p>
      <w:r>
        <w:t>Processus : dS = (r-q)S dt + √v S dW₁ ; dv = κ(θ-v) dt + ξ√v dW₂ ; Corr(dW₁,dW₂) = ρ</w:t>
      </w:r>
    </w:p>
    <w:p>
      <w:pPr>
        <w:pStyle w:val="Heading2"/>
      </w:pPr>
      <w:r>
        <w:t>4.5 Monte Carlo</w:t>
      </w:r>
    </w:p>
    <w:p>
      <w:r>
        <w:t>Simulations de trajectoires pour valider les modèles analytiques et pricer les path-dependants :</w:t>
      </w:r>
    </w:p>
    <w:p>
      <w:pPr>
        <w:pStyle w:val="ListBullet"/>
      </w:pPr>
      <w:r>
        <w:t>• Schéma d'Euler pour dS = (r-q-½σ²)S dt + σS dW</w:t>
      </w:r>
    </w:p>
    <w:p>
      <w:pPr>
        <w:pStyle w:val="ListBullet"/>
      </w:pPr>
      <w:r>
        <w:t>• Antithetic variates : réduction de variance en utilisant -Z pour chaque Z</w:t>
      </w:r>
    </w:p>
    <w:p>
      <w:pPr>
        <w:pStyle w:val="ListBullet"/>
      </w:pPr>
      <w:r>
        <w:t>• Seed fixe pour reproductibilité</w:t>
      </w:r>
    </w:p>
    <w:p>
      <w:pPr>
        <w:pStyle w:val="Heading2"/>
      </w:pPr>
      <w:r>
        <w:t>4.6 Arbre binomial (Cox-Ross-Rubinstein)</w:t>
      </w:r>
    </w:p>
    <w:p>
      <w:r>
        <w:t>Pour les options américaines (exercice anticipé) :</w:t>
      </w:r>
    </w:p>
    <w:p>
      <w:pPr>
        <w:pStyle w:val="ListBullet"/>
      </w:pPr>
      <w:r>
        <w:t>• CRR : u = exp(σ√Δt), d = 1/u, probabilité risque-neutre p = (exp((r-q)Δt) - d)/(u - d)</w:t>
      </w:r>
    </w:p>
    <w:p>
      <w:pPr>
        <w:pStyle w:val="ListBullet"/>
      </w:pPr>
      <w:r>
        <w:t>• À chaque nœud : max(valeur continuation, valeur d'exercice immédiat)</w:t>
      </w:r>
    </w:p>
    <w:p>
      <w:pPr>
        <w:pStyle w:val="ListBullet"/>
      </w:pPr>
      <w:r>
        <w:t>• 200 steps par défaut pour le pricing américain (EU vs US)</w:t>
      </w:r>
    </w:p>
    <w:p>
      <w:pPr>
        <w:pStyle w:val="Heading2"/>
      </w:pPr>
      <w:r>
        <w:t>4.7 SVI (Stochastic Volatility Inspired)</w:t>
      </w:r>
    </w:p>
    <w:p>
      <w:r>
        <w:t>Paramétrisation du smile de volatilité pour lisser les IV de marché :</w:t>
      </w:r>
    </w:p>
    <w:p>
      <w:pPr>
        <w:pStyle w:val="ListBullet"/>
      </w:pPr>
      <w:r>
        <w:t>• σ²(k) = a + b·(ρ(k-m) + √((k-m)² + σ²)) avec k = log(K/F)</w:t>
      </w:r>
    </w:p>
    <w:p>
      <w:pPr>
        <w:pStyle w:val="ListBullet"/>
      </w:pPr>
      <w:r>
        <w:t>• Calibration par curve_fit (scipy) avec contraintes d'arbitrage</w:t>
      </w:r>
    </w:p>
    <w:p>
      <w:pPr>
        <w:pStyle w:val="ListBullet"/>
      </w:pPr>
      <w:r>
        <w:t>• Option « Use SVI smoothed IV » : utilise l'IV SVI au lieu de l'IV brute pour pricing et Greeks</w:t>
      </w:r>
    </w:p>
    <w:p>
      <w:pPr>
        <w:pStyle w:val="Heading1"/>
      </w:pPr>
      <w:r>
        <w:t>5. Stratégies de volatilité (Straddle, Strangle)</w:t>
      </w:r>
    </w:p>
    <w:p>
      <w:r>
        <w:t>Straddle = Call ATM + Put ATM. Strangle = Call OTM + Put OTM (même delta). Stratégies vega-long : profitent d'une hausse de la volatilité.</w:t>
      </w:r>
    </w:p>
    <w:p>
      <w:r>
        <w:t>Pricing via BSM avec une vol unique (IV du call ou moyenne). Analyse P&amp;L attribution, convergence binomiale, comparaison Heston, heatmap Spot/Vol, simulation de delta-hedging.</w:t>
      </w:r>
    </w:p>
    <w:p>
      <w:pPr>
        <w:pStyle w:val="Heading1"/>
      </w:pPr>
      <w:r>
        <w:t>6. Options barrières</w:t>
      </w:r>
    </w:p>
    <w:p>
      <w:r>
        <w:t>Options dont le payoff dépend du franchissement d'un niveau (barrière) :</w:t>
      </w:r>
    </w:p>
    <w:p>
      <w:pPr>
        <w:pStyle w:val="ListBullet"/>
      </w:pPr>
      <w:r>
        <w:t>• Knock-out : l'option disparaît si la barrière est touchée</w:t>
      </w:r>
    </w:p>
    <w:p>
      <w:pPr>
        <w:pStyle w:val="ListBullet"/>
      </w:pPr>
      <w:r>
        <w:t>• Knock-in : l'option s'active si la barrière est touchée</w:t>
      </w:r>
    </w:p>
    <w:p>
      <w:pPr>
        <w:pStyle w:val="ListBullet"/>
      </w:pPr>
      <w:r>
        <w:t>• Down/Up : direction de la barrière par rapport au spot</w:t>
      </w:r>
    </w:p>
    <w:p>
      <w:r>
        <w:t>Pricing par Monte Carlo avec ajustement Brownian bridge : pour détecter un franchissement entre deux pas de temps discrets, on utilise la propriété du pont brownien pour estimer la probabilité de touch. Plus précis qu'un check naïf aux seuls points discrets.</w:t>
      </w:r>
    </w:p>
    <w:p>
      <w:pPr>
        <w:pStyle w:val="Heading1"/>
      </w:pPr>
      <w:r>
        <w:t>7. Swaps de taux d'intérêt</w:t>
      </w:r>
    </w:p>
    <w:p>
      <w:r>
        <w:t>Swap vanille : échange de flux fixe contre flux flottant (Libor/SOFR).</w:t>
      </w:r>
    </w:p>
    <w:p>
      <w:pPr>
        <w:pStyle w:val="Heading2"/>
      </w:pPr>
      <w:r>
        <w:t>7.1 Courbe des taux</w:t>
      </w:r>
    </w:p>
    <w:p>
      <w:pPr>
        <w:pStyle w:val="ListBullet"/>
      </w:pPr>
      <w:r>
        <w:t>• Source : 4 points Treasury Yahoo (3M, 5Y, 10Y, 30Y) — par yields</w:t>
      </w:r>
    </w:p>
    <w:p>
      <w:pPr>
        <w:pStyle w:val="ListBullet"/>
      </w:pPr>
      <w:r>
        <w:t>• Bootstrap : construction de la zero-curve à partir des par yields (obligations au pair)</w:t>
      </w:r>
    </w:p>
    <w:p>
      <w:pPr>
        <w:pStyle w:val="ListBullet"/>
      </w:pPr>
      <w:r>
        <w:t>• Hypothèse : coupons semi-annuels (payment_freq=2), prix pair = 1</w:t>
      </w:r>
    </w:p>
    <w:p>
      <w:pPr>
        <w:pStyle w:val="ListBullet"/>
      </w:pPr>
      <w:r>
        <w:t>• Interpolation : log-linéaire des discount factors entre les nœuds</w:t>
      </w:r>
    </w:p>
    <w:p>
      <w:pPr>
        <w:pStyle w:val="Heading2"/>
      </w:pPr>
      <w:r>
        <w:t>7.2 Pricing du swap</w:t>
      </w:r>
    </w:p>
    <w:p>
      <w:pPr>
        <w:pStyle w:val="ListBullet"/>
      </w:pPr>
      <w:r>
        <w:t>• Jambe fixe : PV = Σ (Notional × FixedRate × αᵢ × DF(tᵢ))</w:t>
      </w:r>
    </w:p>
    <w:p>
      <w:pPr>
        <w:pStyle w:val="ListBullet"/>
      </w:pPr>
      <w:r>
        <w:t>• Jambe flottante (vanille) : PV = Notional × (1 - DF(T))</w:t>
      </w:r>
    </w:p>
    <w:p>
      <w:pPr>
        <w:pStyle w:val="ListBullet"/>
      </w:pPr>
      <w:r>
        <w:t>• NPV (payer) = PV(flottant) - PV(fixe)</w:t>
      </w:r>
    </w:p>
    <w:p>
      <w:pPr>
        <w:pStyle w:val="Heading2"/>
      </w:pPr>
      <w:r>
        <w:t>7.3 Risque et hedge</w:t>
      </w:r>
    </w:p>
    <w:p>
      <w:pPr>
        <w:pStyle w:val="ListBullet"/>
      </w:pPr>
      <w:r>
        <w:t>• DV01 : sensibilité à un mouvement parallèle de 1 bp de la courbe</w:t>
      </w:r>
    </w:p>
    <w:p>
      <w:pPr>
        <w:pStyle w:val="ListBullet"/>
      </w:pPr>
      <w:r>
        <w:t>• Par rate : taux fixe qui annule le NPV</w:t>
      </w:r>
    </w:p>
    <w:p>
      <w:pPr>
        <w:pStyle w:val="ListBullet"/>
      </w:pPr>
      <w:r>
        <w:t>• Key-rate DV01 : sensibilité par point de la courbe</w:t>
      </w:r>
    </w:p>
    <w:p>
      <w:pPr>
        <w:pStyle w:val="Heading1"/>
      </w:pPr>
      <w:r>
        <w:t>8. Qualité des données et tests</w:t>
      </w:r>
    </w:p>
    <w:p>
      <w:pPr>
        <w:pStyle w:val="Heading2"/>
      </w:pPr>
      <w:r>
        <w:t>8.1 Contrôles no-arbitrage</w:t>
      </w:r>
    </w:p>
    <w:p>
      <w:pPr>
        <w:pStyle w:val="ListBullet"/>
      </w:pPr>
      <w:r>
        <w:t>• Monotonie des prix (call croissant en K, put décroissant)</w:t>
      </w:r>
    </w:p>
    <w:p>
      <w:pPr>
        <w:pStyle w:val="ListBullet"/>
      </w:pPr>
      <w:r>
        <w:t>• Convexité (butterfly) : pas de convexité négative</w:t>
      </w:r>
    </w:p>
    <w:p>
      <w:pPr>
        <w:pStyle w:val="ListBullet"/>
      </w:pPr>
      <w:r>
        <w:t>• Put-call parity : C - P = S·e^(-qT) - K·e^(-rT)</w:t>
      </w:r>
    </w:p>
    <w:p>
      <w:pPr>
        <w:pStyle w:val="ListBullet"/>
      </w:pPr>
      <w:r>
        <w:t>• Filtrage par moneyness (0.80-1.20) pour se concentrer sur les options liquides</w:t>
      </w:r>
    </w:p>
    <w:p>
      <w:pPr>
        <w:pStyle w:val="Heading2"/>
      </w:pPr>
      <w:r>
        <w:t>8.2 Tests unitaires (42 tests)</w:t>
      </w:r>
    </w:p>
    <w:p>
      <w:r>
        <w:t>Couverture : Black-Scholes (parité, bornes, Greeks), IV solver, binomial, Monte Carlo, Heston, barrières, courbe de taux, swap, DataCleaner, SVI. Exécution : pytest.</w:t>
      </w:r>
    </w:p>
    <w:p>
      <w:pPr>
        <w:pStyle w:val="Heading1"/>
      </w:pPr>
      <w:r>
        <w:t>9. Stack technique</w:t>
      </w:r>
    </w:p>
    <w:p>
      <w:r>
        <w:t>Python 3, NumPy, SciPy, Pandas, yfinance, Streamlit, Plotly. Tests : pytest.</w:t>
      </w:r>
    </w:p>
    <w:p>
      <w:pPr>
        <w:pStyle w:val="Heading1"/>
      </w:pPr>
      <w:r>
        <w:t>10. Conclusion</w:t>
      </w:r>
    </w:p>
    <w:p>
      <w:r>
        <w:t>Ce pricer démontre une maîtrise des modèles fondamentaux de la finance quantitative et de leur implémentation. Il couvre les produits principaux (vanilles, barrières, swaps) avec des conventions de marché cohérentes et des contrôles de qualité. Projet pédagogique et portfolio, conçu pour illustrer les concepts de pricing d'options.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