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Childhood exposure to non-persistent endocrine disruptors, glucocorticosteroids, and attentional function: A study based on the parametric g-formula</w:t>
      </w:r>
    </w:p>
    <w:p>
      <w:pPr>
        <w:pStyle w:val="Heading1"/>
        <w:rPr/>
      </w:pPr>
      <w:bookmarkStart w:id="0" w:name="abstract"/>
      <w:r>
        <w:rPr/>
        <w:t>Abstract</w:t>
      </w:r>
    </w:p>
    <w:p>
      <w:pPr>
        <w:pStyle w:val="FirstParagraph"/>
        <w:rPr/>
      </w:pPr>
      <w:r>
        <w:rP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associations between EDCs, glucocorticosteroids, and hit reaction time standard error (HRT-SE), a measure of inattention, and tested for possible effect modification by sex. We observed a positive marginal contrast (MC) for exposure increases from the 10th to the 90th percentile for methyl-paraben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confidence interval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on HRT-SE, indicating lower attention.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inattention and with the homeostasis of the HPA axis.</w:t>
      </w:r>
    </w:p>
    <w:p>
      <w:pPr>
        <w:pStyle w:val="Normal"/>
        <w:rPr/>
      </w:pPr>
      <w:r>
        <w:rPr/>
      </w:r>
      <w:r>
        <w:br w:type="page"/>
      </w:r>
    </w:p>
    <w:p>
      <w:pPr>
        <w:pStyle w:val="TextBody"/>
        <w:rPr/>
      </w:pPr>
      <w:r>
        <w:rPr/>
        <w:t>The prevalence of several neurodevelopmental disorders has increased in the pediatric population (</w:t>
      </w:r>
      <w:hyperlink w:anchor="ref-GrandjeanLandrigan:2014">
        <w:r>
          <w:rPr>
            <w:rStyle w:val="InternetLink"/>
          </w:rPr>
          <w:t>1</w:t>
        </w:r>
      </w:hyperlink>
      <w:r>
        <w:rPr/>
        <w:t>), and multiple environmental pollutants may play a role in the increased rates of these disorders (</w:t>
      </w:r>
      <w:hyperlink w:anchor="Xd81cf38a3b251ec377f8aa13b097ea9d0c190e3">
        <w:r>
          <w:rPr>
            <w:rStyle w:val="InternetLink"/>
          </w:rPr>
          <w:t>2</w:t>
        </w:r>
      </w:hyperlink>
      <w:r>
        <w:rPr/>
        <w:t>). Multiple endocrine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Pr>
            <w:rStyle w:val="InternetLink"/>
          </w:rPr>
          <w:t>3</w:t>
        </w:r>
      </w:hyperlink>
      <w:r>
        <w:rPr/>
        <w:t>–</w:t>
      </w:r>
      <w:hyperlink w:anchor="ref-VilmandBeckBilenberg:2023">
        <w:r>
          <w:rPr>
            <w:rStyle w:val="InternetLink"/>
          </w:rPr>
          <w:t>17</w:t>
        </w:r>
      </w:hyperlink>
      <w:r>
        <w:rPr/>
        <w:t>). Although both pregnancy and early infancy are crucial stages of (neuro)development, most of the available literature is focused on the effects of prenatal exposure to EDCs on child neurodevelopment (</w:t>
      </w:r>
      <w:hyperlink w:anchor="Xd81cf38a3b251ec377f8aa13b097ea9d0c190e3">
        <w:r>
          <w:rPr>
            <w:rStyle w:val="InternetLink"/>
          </w:rPr>
          <w:t>2</w:t>
        </w:r>
      </w:hyperlink>
      <w:r>
        <w:rPr/>
        <w:t>).</w:t>
      </w:r>
    </w:p>
    <w:p>
      <w:pPr>
        <w:pStyle w:val="TextBody"/>
        <w:rPr/>
      </w:pPr>
      <w:r>
        <w:rPr/>
        <w:t>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w:t>
      </w:r>
      <w:hyperlink w:anchor="Xd81cf38a3b251ec377f8aa13b097ea9d0c190e3">
        <w:r>
          <w:rPr>
            <w:rStyle w:val="InternetLink"/>
          </w:rPr>
          <w:t>2</w:t>
        </w:r>
      </w:hyperlink>
      <w:r>
        <w:rPr/>
        <w:t>). Exposure to phthalates and their metabolites during childhood and early adolescence has also been associated with several adverse neurodevelopmental outcomes, but these studies were limited to few phthalate metabolites and small study populations (</w:t>
      </w:r>
      <w:hyperlink w:anchor="Xd81cf38a3b251ec377f8aa13b097ea9d0c190e3">
        <w:r>
          <w:rPr>
            <w:rStyle w:val="InternetLink"/>
          </w:rPr>
          <w:t>2</w:t>
        </w:r>
      </w:hyperlink>
      <w:r>
        <w:rPr/>
        <w:t>). The effects of exposure to bisphenol A (BPA) during childhood on cognitive functions are still unclear (</w:t>
      </w:r>
      <w:hyperlink w:anchor="Xd81cf38a3b251ec377f8aa13b097ea9d0c190e3">
        <w:r>
          <w:rPr>
            <w:rStyle w:val="InternetLink"/>
          </w:rPr>
          <w:t>2</w:t>
        </w:r>
      </w:hyperlink>
      <w:r>
        <w:rPr/>
        <w:t>).</w:t>
      </w:r>
    </w:p>
    <w:p>
      <w:pPr>
        <w:pStyle w:val="TextBody"/>
        <w:rPr/>
      </w:pPr>
      <w:r>
        <w:rPr/>
        <w:t>Moreover, little is known about the biological mechanisms of action (</w:t>
      </w:r>
      <w:hyperlink w:anchor="Xd81cf38a3b251ec377f8aa13b097ea9d0c190e3">
        <w:r>
          <w:rPr>
            <w:rStyle w:val="InternetLink"/>
          </w:rPr>
          <w:t>2</w:t>
        </w:r>
      </w:hyperlink>
      <w:r>
        <w:rPr/>
        <w:t>). There is some toxicological evidence, however, that exposure to certain EDCs, specifically phthalates, might interfere with the hypothalamic-pituitary-adrenocortical (HPA) axis and might interact with the glucocorticoid receptor (</w:t>
      </w:r>
      <w:hyperlink w:anchor="ref-KimLeeMoon:2018">
        <w:r>
          <w:rPr>
            <w:rStyle w:val="InternetLink"/>
          </w:rPr>
          <w:t>18</w:t>
        </w:r>
      </w:hyperlink>
      <w:r>
        <w:rPr/>
        <w:t>–</w:t>
      </w:r>
      <w:hyperlink w:anchor="ref-SearsLiuLanphear:2023">
        <w:r>
          <w:rPr>
            <w:rStyle w:val="InternetLink"/>
          </w:rPr>
          <w:t>20</w:t>
        </w:r>
      </w:hyperlink>
      <w:r>
        <w:rPr/>
        <w:t>). The HPA axis, which can be activated by stress, is responsible for the production of glucocorticosteroids. The brain, and its proper functioning, is a potential target, due to the presence of receptors for these hormones (</w:t>
      </w:r>
      <w:hyperlink w:anchor="ref-SunLiJin:2018">
        <w:r>
          <w:rPr>
            <w:rStyle w:val="InternetLink"/>
          </w:rPr>
          <w:t>19</w:t>
        </w:r>
      </w:hyperlink>
      <w:r>
        <w:rPr/>
        <w:t>,</w:t>
      </w:r>
      <w:hyperlink w:anchor="ref-LupienMcEwenGunnar:2009">
        <w:r>
          <w:rPr>
            <w:rStyle w:val="InternetLink"/>
          </w:rPr>
          <w:t>21</w:t>
        </w:r>
      </w:hyperlink>
      <w:r>
        <w:rPr/>
        <w:t>). Glucocorticosteroids are necessary for brain maturation, although their under- or over-production might interfere with its normal development and ultimately lead to long-term impaired functioning (</w:t>
      </w:r>
      <w:hyperlink w:anchor="ref-SearsLiuLanphear:2023">
        <w:r>
          <w:rPr>
            <w:rStyle w:val="InternetLink"/>
          </w:rPr>
          <w:t>20</w:t>
        </w:r>
      </w:hyperlink>
      <w:r>
        <w:rPr/>
        <w:t>,</w:t>
      </w:r>
      <w:hyperlink w:anchor="ref-LupienMcEwenGunnar:2009">
        <w:r>
          <w:rPr>
            <w:rStyle w:val="InternetLink"/>
          </w:rPr>
          <w:t>21</w:t>
        </w:r>
      </w:hyperlink>
      <w:r>
        <w:rPr/>
        <w:t>).</w:t>
      </w:r>
    </w:p>
    <w:p>
      <w:pPr>
        <w:pStyle w:val="TextBody"/>
        <w:rPr/>
      </w:pPr>
      <w:bookmarkStart w:id="1" w:name="abstract"/>
      <w:r>
        <w:rPr/>
        <w:t>Taken together, these results suggest that the negative influence of exposure to certain EDCs on neurodevelopmental outcomes might be mediated, at least partially, by disruption of the HPA axis’ homeostasis. 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bookmarkEnd w:id="1"/>
    </w:p>
    <w:p>
      <w:pPr>
        <w:pStyle w:val="Heading1"/>
        <w:rPr/>
      </w:pPr>
      <w:bookmarkStart w:id="2" w:name="sec-methods"/>
      <w:r>
        <w:rPr/>
        <w:t>Methods</w:t>
      </w:r>
    </w:p>
    <w:p>
      <w:pPr>
        <w:pStyle w:val="Heading2"/>
        <w:rPr/>
      </w:pPr>
      <w:bookmarkStart w:id="3" w:name="sec-design"/>
      <w:r>
        <w:rPr/>
        <w:t>Study population and design</w:t>
      </w:r>
    </w:p>
    <w:p>
      <w:pPr>
        <w:pStyle w:val="FirstParagraph"/>
        <w:rPr/>
      </w:pPr>
      <w:r>
        <w:rPr/>
        <w:t>The Human Early-Life Exposome (HELIX) project aims to characterize early-life exposures and their potential association with endogenous biomarkers and health outcomes (</w:t>
      </w:r>
      <w:hyperlink w:anchor="ref-VrijheidSlamaRobinson:2014">
        <w:r>
          <w:rPr>
            <w:rStyle w:val="InternetLink"/>
          </w:rPr>
          <w:t>22</w:t>
        </w:r>
      </w:hyperlink>
      <w:r>
        <w:rPr/>
        <w:t>). It consists of six existing population-based birth cohort studies across Europe: BiB (Born in Bradford, UK) (</w:t>
      </w:r>
      <w:hyperlink w:anchor="ref-WrightSmallRaynor:2013">
        <w:r>
          <w:rPr>
            <w:rStyle w:val="InternetLink"/>
          </w:rPr>
          <w:t>23</w:t>
        </w:r>
      </w:hyperlink>
      <w:r>
        <w:rPr/>
        <w:t>), EDEN (Study of determinants of pre- and postnatal developmental, France) (</w:t>
      </w:r>
      <w:hyperlink w:anchor="ref-HeudeForhanSlama:2016">
        <w:r>
          <w:rPr>
            <w:rStyle w:val="InternetLink"/>
          </w:rPr>
          <w:t>24</w:t>
        </w:r>
      </w:hyperlink>
      <w:r>
        <w:rPr/>
        <w:t>), INMA (Environment and Childhood, Spain) (</w:t>
      </w:r>
      <w:hyperlink w:anchor="ref-GuxensBallesterEspada:2012">
        <w:r>
          <w:rPr>
            <w:rStyle w:val="InternetLink"/>
          </w:rPr>
          <w:t>25</w:t>
        </w:r>
      </w:hyperlink>
      <w:r>
        <w:rPr/>
        <w:t>), KANC (Kaunas Cohort, Lithuania) (</w:t>
      </w:r>
      <w:hyperlink w:anchor="Xd30c40380c9e99bac70b7fa3b0ada5ae8dec3e4">
        <w:r>
          <w:rPr>
            <w:rStyle w:val="InternetLink"/>
          </w:rPr>
          <w:t>26</w:t>
        </w:r>
      </w:hyperlink>
      <w:r>
        <w:rPr/>
        <w:t>), MoBa (The Norwegian Mother and Child Cohort Study, Norway) (</w:t>
      </w:r>
      <w:hyperlink w:anchor="ref-MagnusIrgensHaug:2006">
        <w:r>
          <w:rPr>
            <w:rStyle w:val="InternetLink"/>
          </w:rPr>
          <w:t>27</w:t>
        </w:r>
      </w:hyperlink>
      <w:r>
        <w:rPr/>
        <w:t>), and Rhea (Mother–Child Cohort in Crete, Greece) (</w:t>
      </w:r>
      <w:hyperlink w:anchor="ref-ChatziPlanaDaraki:2009">
        <w:r>
          <w:rPr>
            <w:rStyle w:val="InternetLink"/>
          </w:rPr>
          <w:t>28</w:t>
        </w:r>
      </w:hyperlink>
      <w:r>
        <w:rPr/>
        <w:t>). The HELIX subcohort of 1,301 mother-child pairs was fully characterized for the external and internal exposome, including exposure and omics biomarkers during childhood (</w:t>
      </w:r>
      <w:hyperlink w:anchor="ref-MaitreBontCasas:2018">
        <w:r>
          <w:rPr>
            <w:rStyle w:val="InternetLink"/>
          </w:rPr>
          <w:t>29</w:t>
        </w:r>
      </w:hyperlink>
      <w:r>
        <w:rPr/>
        <w:t>).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bookmarkEnd w:id="3"/>
    </w:p>
    <w:p>
      <w:pPr>
        <w:pStyle w:val="Heading2"/>
        <w:rPr/>
      </w:pPr>
      <w:bookmarkStart w:id="4" w:name="sec-vars"/>
      <w:r>
        <w:rPr/>
        <w:t>Variables</w:t>
      </w:r>
    </w:p>
    <w:p>
      <w:pPr>
        <w:pStyle w:val="Heading3"/>
        <w:rPr/>
      </w:pPr>
      <w:bookmarkStart w:id="5" w:name="sec-edcs"/>
      <w:r>
        <w:rPr/>
        <w:t>Endocrine disrupting chemicals</w:t>
      </w:r>
    </w:p>
    <w:p>
      <w:pPr>
        <w:pStyle w:val="FirstParagraph"/>
        <w:rPr/>
      </w:pPr>
      <w:r>
        <w:rP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 </w:t>
      </w:r>
      <w:hyperlink w:anchor="supptbl-info-chems">
        <w:r>
          <w:rPr>
            <w:rStyle w:val="InternetLink"/>
          </w:rPr>
          <w:t>Table S1</w:t>
        </w:r>
      </w:hyperlink>
      <w:r>
        <w:rPr/>
        <w:t>. Briefly, we analyzed a total of 7 phenols (bisphenol A (BPA), ethyl-paraben (ETPA), methyl-paraben (MEPA), n</w:t>
        <w:noBreakHyphen/>
        <w:t>butyl</w:t>
        <w:noBreakHyphen/>
        <w:t>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w:t>
        <w:noBreakHyphen/>
        <w:t>2</w:t>
        <w:noBreakHyphen/>
        <w:t>ethyl 5</w:t>
        <w:noBreakHyphen/>
        <w:t>carboxypentyl phthalate (MECPP), mono</w:t>
        <w:noBreakHyphen/>
        <w:t>2</w:t>
        <w:noBreakHyphen/>
        <w:t>ethylhexyl phthalate (MEHP), mono</w:t>
        <w:noBreakHyphen/>
        <w:t>2</w:t>
        <w:noBreakHyphen/>
        <w:t>ethyl</w:t>
        <w:noBreakHyphen/>
        <w:t>5</w:t>
        <w:noBreakHyphen/>
        <w:t>hydroxyhexyl phthalate (MEHHP), mono</w:t>
        <w:noBreakHyphen/>
        <w:t>2</w:t>
        <w:noBreakHyphen/>
        <w:t>ethyl</w:t>
        <w:noBreakHyphen/>
        <w:t>5</w:t>
        <w:noBreakHyphen/>
        <w:t>oxohexyl phthalate (MEOHP), mono</w:t>
        <w:noBreakHyphen/>
        <w:t>4</w:t>
        <w:noBreakHyphen/>
        <w:t>methyl</w:t>
        <w:noBreakHyphen/>
        <w:t>7</w:t>
        <w:noBreakHyphen/>
        <w:t>hydroxyoctyl phthalate (oh-MiNP), mono</w:t>
        <w:noBreakHyphen/>
        <w:t>4</w:t>
        <w:noBreakHyphen/>
        <w:t>methyl</w:t>
        <w:noBreakHyphen/>
        <w:t>7</w:t>
        <w:noBreakHyphen/>
        <w:t>oxooctyl phthalate (oxo-MiNP), mono</w:t>
        <w:noBreakHyphen/>
        <w:t>iso</w:t>
        <w:noBreakHyphen/>
        <w:t>butyl phthalate (MiBP), mono</w:t>
        <w:noBreakHyphen/>
        <w:t>n</w:t>
        <w:noBreakHyphen/>
        <w:t>butyl phthalate (MnBP)) originating from 6 distinct phthalate parent compounds. The laboratory protocols for the analysis are described elsewhere (</w:t>
      </w:r>
      <w:hyperlink w:anchor="ref-HaugSakhiCequier:2018">
        <w:r>
          <w:rPr>
            <w:rStyle w:val="InternetLink"/>
          </w:rPr>
          <w:t>30</w:t>
        </w:r>
      </w:hyperlink>
      <w:r>
        <w:rPr/>
        <w:t>).</w:t>
      </w:r>
      <w:bookmarkEnd w:id="5"/>
    </w:p>
    <w:p>
      <w:pPr>
        <w:pStyle w:val="Heading3"/>
        <w:rPr/>
      </w:pPr>
      <w:bookmarkStart w:id="6" w:name="sec-steroids"/>
      <w:r>
        <w:rPr/>
        <w:t>Glucocorticosteroids</w:t>
      </w:r>
    </w:p>
    <w:p>
      <w:pPr>
        <w:pStyle w:val="FirstParagraph"/>
        <w:rPr/>
      </w:pPr>
      <w:r>
        <w:rP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hyperlink w:anchor="supptbl-info-mets">
        <w:r>
          <w:rPr>
            <w:rStyle w:val="InternetLink"/>
          </w:rPr>
          <w:t>Table S2</w:t>
        </w:r>
      </w:hyperlink>
      <w:r>
        <w:rPr/>
        <w:t>.</w:t>
      </w:r>
    </w:p>
    <w:p>
      <w:pPr>
        <w:pStyle w:val="TextBody"/>
        <w:rPr/>
      </w:pPr>
      <w:r>
        <w:rPr/>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MarcosRenauCasals:2014">
        <w:r>
          <w:rPr>
            <w:rStyle w:val="InternetLink"/>
          </w:rPr>
          <w:t>31</w:t>
        </w:r>
      </w:hyperlink>
      <w:r>
        <w:rPr/>
        <w:t>,</w:t>
      </w:r>
      <w:hyperlink w:anchor="ref-Gomez-GomezPozo:2020">
        <w:r>
          <w:rPr>
            <w:rStyle w:val="InternetLink"/>
          </w:rPr>
          <w:t>32</w:t>
        </w:r>
      </w:hyperlink>
      <w:r>
        <w:rPr/>
        <w:t>).</w:t>
      </w:r>
    </w:p>
    <w:p>
      <w:pPr>
        <w:pStyle w:val="TextBody"/>
        <w:rPr/>
      </w:pPr>
      <w:bookmarkStart w:id="7" w:name="sec-steroids"/>
      <w:r>
        <w:rPr/>
        <w:t>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bookmarkEnd w:id="7"/>
    </w:p>
    <w:p>
      <w:pPr>
        <w:pStyle w:val="Heading3"/>
        <w:rPr/>
      </w:pPr>
      <w:bookmarkStart w:id="8" w:name="sec-neurodevelopment"/>
      <w:r>
        <w:rPr/>
        <w:t>Attentional function</w:t>
      </w:r>
    </w:p>
    <w:p>
      <w:pPr>
        <w:pStyle w:val="FirstParagraph"/>
        <w:rPr/>
      </w:pPr>
      <w:r>
        <w:rPr/>
        <w:t>Cognitive and motor function outcomes were assessed with standardized, non-linguistic, and culturally blind computer tests, including the Attention Network Test (ANT) (</w:t>
      </w:r>
      <w:hyperlink w:anchor="ref-RuedaFanMcCandliss:2004">
        <w:r>
          <w:rPr>
            <w:rStyle w:val="InternetLink"/>
          </w:rPr>
          <w:t>33</w:t>
        </w:r>
      </w:hyperlink>
      <w:r>
        <w:rPr/>
        <w:t>), which provides a measure of efficiency of attentional function. The tests were administered in a standardized way, and with minimal interference from the field workers. Further information can be found in (</w:t>
      </w:r>
      <w:hyperlink w:anchor="ref-MaitreBontCasas:2018">
        <w:r>
          <w:rPr>
            <w:rStyle w:val="InternetLink"/>
          </w:rPr>
          <w:t>29</w:t>
        </w:r>
      </w:hyperlink>
      <w:r>
        <w:rPr/>
        <w:t>). The outcome of interest for the present study is the hit reaction time standard error (HRT-SE) (</w:t>
      </w:r>
      <w:hyperlink w:anchor="ref-SunyerEsnaolaAlvarez-Pedrerol:2015">
        <w:r>
          <w:rPr>
            <w:rStyle w:val="InternetLink"/>
          </w:rPr>
          <w:t>34</w:t>
        </w:r>
      </w:hyperlink>
      <w:r>
        <w:rPr/>
        <w:t>), a measure of response speed consistency throughout the test. A high HRT-SE indicates highly variable reaction times, and is considered a measure of inattentiveness.</w:t>
      </w:r>
      <w:bookmarkEnd w:id="8"/>
    </w:p>
    <w:p>
      <w:pPr>
        <w:pStyle w:val="Heading3"/>
        <w:rPr/>
      </w:pPr>
      <w:bookmarkStart w:id="9" w:name="sec-confounders"/>
      <w:r>
        <w:rPr/>
        <w:t>Confounders</w:t>
      </w:r>
    </w:p>
    <w:p>
      <w:pPr>
        <w:pStyle w:val="FirstParagraph"/>
        <w:rPr/>
      </w:pPr>
      <w:r>
        <w:rPr/>
        <w:t xml:space="preserve">For each research question, defined by a specific type of exposure and outcome, the minimal set of covariates for inclusion in the analyses was selected on the basis of a directed acyclic graph (DAG) built with </w:t>
      </w:r>
      <w:r>
        <w:rPr>
          <w:rStyle w:val="VerbatimChar"/>
        </w:rPr>
        <w:t>DAGitty</w:t>
      </w:r>
      <w:r>
        <w:rPr/>
        <w:t xml:space="preserve"> (</w:t>
      </w:r>
      <w:hyperlink w:anchor="ref-TextorvanderZanderGilthorpe:2016">
        <w:r>
          <w:rPr>
            <w:rStyle w:val="InternetLink"/>
          </w:rPr>
          <w:t>35</w:t>
        </w:r>
      </w:hyperlink>
      <w:r>
        <w:rPr/>
        <w:t xml:space="preserve">) and </w:t>
      </w:r>
      <w:r>
        <w:rPr>
          <w:rStyle w:val="VerbatimChar"/>
        </w:rPr>
        <w:t>ggdag</w:t>
      </w:r>
      <w:r>
        <w:rPr/>
        <w:t xml:space="preserve"> (</w:t>
      </w:r>
      <w:hyperlink w:anchor="ref-Barrett:2023">
        <w:r>
          <w:rPr>
            <w:rStyle w:val="InternetLink"/>
          </w:rPr>
          <w:t>36</w:t>
        </w:r>
      </w:hyperlink>
      <w:r>
        <w:rP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 </w:t>
      </w:r>
      <w:r>
        <w:rPr>
          <w:i/>
          <w:iCs/>
        </w:rPr>
        <w:t>augmented</w:t>
      </w:r>
      <w:r>
        <w:rPr/>
        <w:t xml:space="preserve"> with precision covariates, defined as the set of parents variable of the outcome that are not parents of the exposure. Common confounders were cohort, ethnicity, sex, age, height, weight, and head circumference of the child, consumption of fish, fruit, vegetables, organic food, anf fast food,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Codebooks for the used covariates, by research question, are provided in Supplementary Tables </w:t>
      </w:r>
      <w:hyperlink w:anchor="supptbl-codebook-1">
        <w:r>
          <w:rPr>
            <w:rStyle w:val="InternetLink"/>
          </w:rPr>
          <w:t>3</w:t>
        </w:r>
      </w:hyperlink>
      <w:r>
        <w:rPr/>
        <w:t xml:space="preserve">, </w:t>
      </w:r>
      <w:hyperlink w:anchor="supptbl-codebook-2">
        <w:r>
          <w:rPr>
            <w:rStyle w:val="InternetLink"/>
          </w:rPr>
          <w:t>4</w:t>
        </w:r>
      </w:hyperlink>
      <w:r>
        <w:rPr/>
        <w:t xml:space="preserve">, </w:t>
      </w:r>
      <w:hyperlink w:anchor="supptbl-codebook-3">
        <w:r>
          <w:rPr>
            <w:rStyle w:val="InternetLink"/>
          </w:rPr>
          <w:t>5</w:t>
        </w:r>
      </w:hyperlink>
      <w:r>
        <w:rPr/>
        <w:t>.</w:t>
      </w:r>
      <w:bookmarkEnd w:id="4"/>
      <w:bookmarkEnd w:id="9"/>
    </w:p>
    <w:p>
      <w:pPr>
        <w:pStyle w:val="Heading2"/>
        <w:rPr/>
      </w:pPr>
      <w:bookmarkStart w:id="10" w:name="sec-stat-methods"/>
      <w:r>
        <w:rPr/>
        <w:t>Statistical methods</w:t>
      </w:r>
    </w:p>
    <w:p>
      <w:pPr>
        <w:pStyle w:val="Heading3"/>
        <w:rPr/>
      </w:pPr>
      <w:bookmarkStart w:id="11" w:name="sec-dat-preproc"/>
      <w:r>
        <w:rPr/>
        <w:t>Data pre-processing</w:t>
      </w:r>
    </w:p>
    <w:p>
      <w:pPr>
        <w:pStyle w:val="FirstParagraph"/>
        <w:rPr/>
      </w:pPr>
      <w:r>
        <w:rP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 </w:t>
      </w:r>
      <w:hyperlink w:anchor="supptbl-lloq-mets">
        <w:r>
          <w:rPr>
            <w:rStyle w:val="InternetLink"/>
          </w:rPr>
          <w:t>Table S6</w:t>
        </w:r>
      </w:hyperlink>
      <w:r>
        <w:rPr/>
        <w:t xml:space="preserve">. The remaining missing values were imputed using kNN from the </w:t>
      </w:r>
      <w:r>
        <w:rPr>
          <w:rStyle w:val="VerbatimChar"/>
        </w:rPr>
        <w:t>VIM</w:t>
      </w:r>
      <w:r>
        <w:rPr/>
        <w:t xml:space="preserve"> R package (</w:t>
      </w:r>
      <w:hyperlink w:anchor="ref-KowarikTempl:2016">
        <w:r>
          <w:rPr>
            <w:rStyle w:val="InternetLink"/>
          </w:rPr>
          <w:t>37</w:t>
        </w:r>
      </w:hyperlink>
      <w:r>
        <w:rP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 </w:t>
      </w:r>
      <w:r>
        <w:rPr>
          <w:rStyle w:val="VerbatimChar"/>
        </w:rPr>
        <w:t>check_predictions</w:t>
      </w:r>
      <w:r>
        <w:rPr/>
        <w:t xml:space="preserve"> function from the </w:t>
      </w:r>
      <w:r>
        <w:rPr>
          <w:rStyle w:val="VerbatimChar"/>
        </w:rPr>
        <w:t>performance</w:t>
      </w:r>
      <w:r>
        <w:rPr/>
        <w:t xml:space="preserve"> R package using the default arguments (</w:t>
      </w:r>
      <w:hyperlink w:anchor="ref-LudeckeBen-ShacharPatil:2021">
        <w:r>
          <w:rPr>
            <w:rStyle w:val="InternetLink"/>
          </w:rPr>
          <w:t>38</w:t>
        </w:r>
      </w:hyperlink>
      <w:r>
        <w:rPr/>
        <w:t>). Values of total cortisol, cortisone, and corticosterone production were expressed in nanograms per millilitre (ng/ml).</w:t>
      </w:r>
    </w:p>
    <w:p>
      <w:pPr>
        <w:pStyle w:val="TextBody"/>
        <w:rPr/>
      </w:pPr>
      <w:r>
        <w:rP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 </w:t>
      </w:r>
      <w:r>
        <w:rPr>
          <w:rStyle w:val="VerbatimChar"/>
        </w:rPr>
        <w:t>impute.QRILC</w:t>
      </w:r>
      <w:r>
        <w:rPr/>
        <w:t xml:space="preserve"> function from the </w:t>
      </w:r>
      <w:r>
        <w:rPr>
          <w:rStyle w:val="VerbatimChar"/>
        </w:rPr>
        <w:t>imputeLCMD</w:t>
      </w:r>
      <w:r>
        <w:rPr/>
        <w:t xml:space="preserve"> R package (</w:t>
      </w:r>
      <w:hyperlink w:anchor="ref-lazar2015imputelcmd">
        <w:r>
          <w:rPr>
            <w:rStyle w:val="InternetLink"/>
          </w:rPr>
          <w:t>39</w:t>
        </w:r>
      </w:hyperlink>
      <w:r>
        <w:rPr/>
        <w:t>). Information about the lower limits of detection can be found in (</w:t>
      </w:r>
      <w:hyperlink w:anchor="ref-HaugSakhiCequier:2018">
        <w:r>
          <w:rPr>
            <w:rStyle w:val="InternetLink"/>
          </w:rPr>
          <w:t>30</w:t>
        </w:r>
      </w:hyperlink>
      <w:r>
        <w:rPr/>
        <w:t xml:space="preserve">). Chemicals with more than 70% of observations below the LOD were excluded from the present study. Remaining missing values were imputed similarly using kNN. Values of the chemicals were expressed in </w:t>
      </w:r>
      <w:r>
        <w:rPr/>
      </w:r>
      <m:oMath xmlns:m="http://schemas.openxmlformats.org/officeDocument/2006/math">
        <m:r>
          <w:rPr>
            <w:rFonts w:ascii="Cambria Math" w:hAnsi="Cambria Math"/>
          </w:rPr>
          <m:t xml:space="preserve">μ</m:t>
        </m:r>
      </m:oMath>
      <w:r>
        <w:rPr/>
        <w:t>grams per litre (</w:t>
      </w:r>
      <w:r>
        <w:rPr/>
      </w:r>
      <m:oMath xmlns:m="http://schemas.openxmlformats.org/officeDocument/2006/math">
        <m:r>
          <w:rPr>
            <w:rFonts w:ascii="Cambria Math" w:hAnsi="Cambria Math"/>
          </w:rPr>
          <m:t xml:space="preserve">μ</m:t>
        </m:r>
      </m:oMath>
      <w:r>
        <w:rPr/>
        <w:t>g/L).</w:t>
      </w:r>
    </w:p>
    <w:p>
      <w:pPr>
        <w:pStyle w:val="TextBody"/>
        <w:rPr/>
      </w:pPr>
      <w:r>
        <w:rPr/>
        <w:t>Missing values in the clinical outcome were imputed similarly using kNN. We natural log-transformed these to improve model fit, assessed with posterior predictive checks. Values of the clinical outcome were expressed in milliseconds (ms).</w:t>
      </w:r>
    </w:p>
    <w:p>
      <w:pPr>
        <w:pStyle w:val="TextBody"/>
        <w:rPr/>
      </w:pPr>
      <w:r>
        <w:rPr/>
        <w:t xml:space="preserve">Missing values in the covariates were imputed similarly using kNN. Categorical covariates were imputed using the </w:t>
      </w:r>
      <w:r>
        <w:rPr>
          <w:rStyle w:val="VerbatimChar"/>
        </w:rPr>
        <w:t>maxCat</w:t>
      </w:r>
      <w:r>
        <w:rPr/>
        <w:t xml:space="preserve"> function, which chooses the level with the most occurrences. Creatinine values were expressed in grams per litre (g/L).</w:t>
      </w:r>
      <w:bookmarkEnd w:id="11"/>
    </w:p>
    <w:p>
      <w:pPr>
        <w:pStyle w:val="Heading3"/>
        <w:rPr/>
      </w:pPr>
      <w:bookmarkStart w:id="12" w:name="sec-weights-est"/>
      <w:r>
        <w:rPr/>
        <w:t>Estimation of balancing weights</w:t>
      </w:r>
    </w:p>
    <w:p>
      <w:pPr>
        <w:pStyle w:val="FirstParagraph"/>
        <w:rPr/>
      </w:pPr>
      <w:r>
        <w:rPr/>
        <w:t xml:space="preserve">To reduce the effect of measured confounders on the exposure-outcome association, stabilized balancing weights were estimated using the energy method available in the </w:t>
      </w:r>
      <w:r>
        <w:rPr>
          <w:rStyle w:val="VerbatimChar"/>
        </w:rPr>
        <w:t>WeightIt</w:t>
      </w:r>
      <w:r>
        <w:rPr/>
        <w:t xml:space="preserve"> R package (</w:t>
      </w:r>
      <w:hyperlink w:anchor="ref-Greifer:2023">
        <w:r>
          <w:rPr>
            <w:rStyle w:val="InternetLink"/>
          </w:rPr>
          <w:t>40</w:t>
        </w:r>
      </w:hyperlink>
      <w:r>
        <w:rPr/>
        <w:t>). This method estimates weights by minimizing an energy statistic related to covariate balance (</w:t>
      </w:r>
      <w:hyperlink w:anchor="ref-HulingGreiferChen:2023">
        <w:r>
          <w:rPr>
            <w:rStyle w:val="InternetLink"/>
          </w:rPr>
          <w:t>41</w:t>
        </w:r>
      </w:hyperlink>
      <w:r>
        <w:rPr/>
        <w:t xml:space="preserve">), thus avoiding the need to specify a parametric model. Weights below the 0.1 and above the 0.9 quantiles were trimmed. Trimming might lead to decreased covariate balance and potentially change the estimand, but can also decrease the variability of the weights. Covariate balance was assessed using functionalities provided by the </w:t>
      </w:r>
      <w:r>
        <w:rPr>
          <w:rStyle w:val="VerbatimChar"/>
        </w:rPr>
        <w:t>cobalt</w:t>
      </w:r>
      <w:r>
        <w:rPr/>
        <w:t xml:space="preserve"> R package (</w:t>
      </w:r>
      <w:hyperlink w:anchor="ref-Greifer:2023a">
        <w:r>
          <w:rPr>
            <w:rStyle w:val="InternetLink"/>
          </w:rPr>
          <w:t>42</w:t>
        </w:r>
      </w:hyperlink>
      <w:r>
        <w:rPr/>
        <w:t xml:space="preserve">). Specifically, we used </w:t>
      </w:r>
      <w:r>
        <w:rPr>
          <w:i/>
          <w:iCs/>
        </w:rPr>
        <w:t>Love</w:t>
      </w:r>
      <w:r>
        <w:rPr/>
        <w:t xml:space="preserve"> plots to visualize covariate balance before and after adjusting.</w:t>
      </w:r>
      <w:bookmarkEnd w:id="12"/>
    </w:p>
    <w:p>
      <w:pPr>
        <w:pStyle w:val="Heading3"/>
        <w:rPr/>
      </w:pPr>
      <w:bookmarkStart w:id="13" w:name="sec-gcomp"/>
      <w:r>
        <w:rPr/>
        <w:t>G-computation</w:t>
      </w:r>
    </w:p>
    <w:p>
      <w:pPr>
        <w:pStyle w:val="FirstParagraph"/>
        <w:rPr/>
      </w:pPr>
      <w:r>
        <w:rP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 </w:t>
      </w:r>
      <w:r>
        <w:rPr/>
      </w:r>
      <m:oMath xmlns:m="http://schemas.openxmlformats.org/officeDocument/2006/math">
        <m:d>
          <m:dPr>
            <m:begChr m:val="("/>
            <m:endChr m:val=")"/>
          </m:dPr>
          <m:e>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1</m:t>
                        </m:r>
                      </m:sub>
                    </m:sSub>
                  </m:sup>
                </m:sSup>
              </m:e>
            </m:d>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Y</m:t>
                    </m:r>
                  </m:e>
                  <m:sup>
                    <m:sSub>
                      <m:e>
                        <m:r>
                          <w:rPr>
                            <w:rFonts w:ascii="Cambria Math" w:hAnsi="Cambria Math"/>
                          </w:rPr>
                          <m:t xml:space="preserve">d</m:t>
                        </m:r>
                      </m:e>
                      <m:sub>
                        <m:r>
                          <w:rPr>
                            <w:rFonts w:ascii="Cambria Math" w:hAnsi="Cambria Math"/>
                          </w:rPr>
                          <m:t xml:space="preserve">2</m:t>
                        </m:r>
                      </m:sub>
                    </m:sSub>
                  </m:sup>
                </m:sSup>
              </m:e>
            </m:d>
          </m:e>
        </m:d>
      </m:oMath>
      <w:r>
        <w:rPr/>
        <w:t>.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rPr/>
      </w:pPr>
      <w:r>
        <w:rPr/>
        <w:t xml:space="preserve">We fit the outcome model using the </w:t>
      </w:r>
      <w:r>
        <w:rPr>
          <w:rStyle w:val="VerbatimChar"/>
        </w:rPr>
        <w:t>glm</w:t>
      </w:r>
      <w:r>
        <w:rPr/>
        <w:t xml:space="preserve"> function and a Gaussian family with identity link from base R. The exposure variable was modeled using natural cubic splines with 3 degrees of freedom, to more flexibly capture the average dose-response function (ADRF).</w:t>
      </w:r>
    </w:p>
    <w:p>
      <w:pPr>
        <w:pStyle w:val="TextBody"/>
        <w:rPr/>
      </w:pPr>
      <w:r>
        <w:rPr/>
        <w:t xml:space="preserve">To estimate the MCs, we used the </w:t>
      </w:r>
      <w:r>
        <w:rPr>
          <w:rStyle w:val="VerbatimChar"/>
        </w:rPr>
        <w:t>avg_comparisons</w:t>
      </w:r>
      <w:r>
        <w:rPr/>
        <w:t xml:space="preserve"> function from the </w:t>
      </w:r>
      <w:r>
        <w:rPr>
          <w:rStyle w:val="VerbatimChar"/>
        </w:rPr>
        <w:t>marginaleffects</w:t>
      </w:r>
      <w:r>
        <w:rPr/>
        <w:t xml:space="preserve"> R package (</w:t>
      </w:r>
      <w:hyperlink w:anchor="ref-Arel-Bundock:2023">
        <w:r>
          <w:rPr>
            <w:rStyle w:val="InternetLink"/>
          </w:rPr>
          <w:t>43</w:t>
        </w:r>
      </w:hyperlink>
      <w:r>
        <w:rPr/>
        <w:t>). The two counterfactual datasets were obtained by setting the exposures levels to 90th percentile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 and the 10th percentile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t xml:space="preserve">), for each cohort separately. The MCs were computed using the estimated balancing weights above. Robust standard errors were computed with the </w:t>
      </w:r>
      <w:r>
        <w:rPr>
          <w:rStyle w:val="VerbatimChar"/>
        </w:rPr>
        <w:t>sandwich</w:t>
      </w:r>
      <w:r>
        <w:rPr/>
        <w:t xml:space="preserve"> R package, using cohort as variable indicating clustering of observations (</w:t>
      </w:r>
      <w:hyperlink w:anchor="ref-Zeileis:2004">
        <w:r>
          <w:rPr>
            <w:rStyle w:val="InternetLink"/>
          </w:rPr>
          <w:t>44</w:t>
        </w:r>
      </w:hyperlink>
      <w:r>
        <w:rPr/>
        <w:t>,</w:t>
      </w:r>
      <w:hyperlink w:anchor="ref-ZeileisKollGraham:2020">
        <w:r>
          <w:rPr>
            <w:rStyle w:val="InternetLink"/>
          </w:rPr>
          <w:t>45</w:t>
        </w:r>
      </w:hyperlink>
      <w:r>
        <w:rPr/>
        <w:t>). For each outcome, we report the results as differences between MCs.</w:t>
      </w:r>
    </w:p>
    <w:p>
      <w:pPr>
        <w:pStyle w:val="TextBody"/>
        <w:rPr/>
      </w:pPr>
      <w:bookmarkStart w:id="14" w:name="sec-gcomp"/>
      <w:r>
        <w:rPr/>
        <w:t>The R code to reproduce analyses and results is available online (https://github.com/lorenzoFabbri/paper-helixSC-neuro).</w:t>
      </w:r>
      <w:bookmarkEnd w:id="14"/>
    </w:p>
    <w:p>
      <w:pPr>
        <w:pStyle w:val="Heading3"/>
        <w:rPr/>
      </w:pPr>
      <w:bookmarkStart w:id="15" w:name="effect-modification-analysis"/>
      <w:r>
        <w:rPr/>
        <w:t>Effect-modification analysis</w:t>
      </w:r>
    </w:p>
    <w:p>
      <w:pPr>
        <w:pStyle w:val="FirstParagraph"/>
        <w:rPr/>
      </w:pPr>
      <w:bookmarkStart w:id="16" w:name="sec-methods"/>
      <w:bookmarkStart w:id="17" w:name="sec-stat-methods"/>
      <w:bookmarkStart w:id="18" w:name="effect-modification-analysis"/>
      <w:r>
        <w:rPr/>
        <w:t>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bookmarkEnd w:id="16"/>
      <w:bookmarkEnd w:id="17"/>
      <w:bookmarkEnd w:id="18"/>
    </w:p>
    <w:p>
      <w:pPr>
        <w:pStyle w:val="Heading1"/>
        <w:rPr/>
      </w:pPr>
      <w:bookmarkStart w:id="19" w:name="sec-res"/>
      <w:r>
        <w:rPr/>
        <w:t>Results</w:t>
      </w:r>
    </w:p>
    <w:p>
      <w:pPr>
        <w:pStyle w:val="FirstParagraph"/>
        <w:rPr/>
      </w:pPr>
      <w:hyperlink w:anchor="tbl-pop-desc">
        <w:r>
          <w:rPr>
            <w:rStyle w:val="InternetLink"/>
          </w:rPr>
          <w:t>Table 1</w:t>
        </w:r>
      </w:hyperlink>
      <w:r>
        <w:rPr/>
        <w:t xml:space="preserve"> and </w:t>
      </w:r>
      <w:hyperlink w:anchor="supptbl-pop-desc">
        <w:r>
          <w:rPr>
            <w:rStyle w:val="InternetLink"/>
          </w:rPr>
          <w:t>Table S7</w:t>
        </w:r>
      </w:hyperlink>
      <w:r>
        <w:rPr/>
        <w:t xml:space="preserve"> provide descriptive statistics for the outcome and covariates for the HELIX subcohort and for each cohort, respectively. 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 </w:t>
      </w:r>
      <w:hyperlink w:anchor="suppfig-flow-pop">
        <w:r>
          <w:rPr>
            <w:rStyle w:val="InternetLink"/>
          </w:rPr>
          <w:t>Figure S1</w:t>
        </w:r>
      </w:hyperlink>
      <w:r>
        <w:rPr/>
        <w:t>.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TextBody"/>
        <w:rPr/>
      </w:pPr>
      <w:r>
        <w:rPr/>
        <w:t xml:space="preserve">Levels of unprocessed non-persistent EDCs, after imputation of values below the LOD, and glucocorticosteroids, are presented in </w:t>
      </w:r>
      <w:hyperlink w:anchor="tbl-edc-desc">
        <w:r>
          <w:rPr>
            <w:rStyle w:val="InternetLink"/>
          </w:rPr>
          <w:t>Table 2</w:t>
        </w:r>
      </w:hyperlink>
      <w:r>
        <w:rPr/>
        <w:t xml:space="preserve">, </w:t>
      </w:r>
      <w:hyperlink w:anchor="tbl-met-new-desc">
        <w:r>
          <w:rPr>
            <w:rStyle w:val="InternetLink"/>
          </w:rPr>
          <w:t>Table 3</w:t>
        </w:r>
      </w:hyperlink>
      <w:r>
        <w:rPr/>
        <w:t xml:space="preserve">, and </w:t>
      </w:r>
      <w:hyperlink w:anchor="supptbl-met-desc">
        <w:r>
          <w:rPr>
            <w:rStyle w:val="InternetLink"/>
          </w:rPr>
          <w:t>Table S8</w:t>
        </w:r>
      </w:hyperlink>
      <w:r>
        <w:rPr/>
        <w:t xml:space="preserve">. Supplementary Figures </w:t>
      </w:r>
      <w:hyperlink w:anchor="suppfig-desc-chems">
        <w:r>
          <w:rPr>
            <w:rStyle w:val="InternetLink"/>
          </w:rPr>
          <w:t>2</w:t>
        </w:r>
      </w:hyperlink>
      <w:r>
        <w:rPr/>
        <w:t xml:space="preserve"> and </w:t>
      </w:r>
      <w:hyperlink w:anchor="suppfig-desc-mets">
        <w:r>
          <w:rPr>
            <w:rStyle w:val="InternetLink"/>
          </w:rPr>
          <w:t>3</w:t>
        </w:r>
      </w:hyperlink>
      <w:r>
        <w:rPr/>
        <w:t xml:space="preserve"> provide information on the measurement classification of the EDCs and glucocorticosteroids by cohort, respectively.</w:t>
      </w:r>
    </w:p>
    <w:p>
      <w:pPr>
        <w:pStyle w:val="TextBody"/>
        <w:rPr/>
      </w:pPr>
      <w:r>
        <w:rPr/>
        <w:t xml:space="preserve">The effective sample sizes before and after balancing weights estimation are presented in Supplementary Tables </w:t>
      </w:r>
      <w:hyperlink w:anchor="supptbl-balance-1">
        <w:r>
          <w:rPr>
            <w:rStyle w:val="InternetLink"/>
          </w:rPr>
          <w:t>9</w:t>
        </w:r>
      </w:hyperlink>
      <w:r>
        <w:rPr/>
        <w:t xml:space="preserve">, </w:t>
      </w:r>
      <w:hyperlink w:anchor="supptbl-balance-2">
        <w:r>
          <w:rPr>
            <w:rStyle w:val="InternetLink"/>
          </w:rPr>
          <w:t>10</w:t>
        </w:r>
      </w:hyperlink>
      <w:r>
        <w:rPr/>
        <w:t xml:space="preserve">, </w:t>
      </w:r>
      <w:hyperlink w:anchor="supptbl-balance-3">
        <w:r>
          <w:rPr>
            <w:rStyle w:val="InternetLink"/>
          </w:rPr>
          <w:t>11</w:t>
        </w:r>
      </w:hyperlink>
      <w:r>
        <w:rPr/>
        <w:t xml:space="preserve">, while basic summary statistics of the estimated balancing weights are presented in Supplementary Tables </w:t>
      </w:r>
      <w:hyperlink w:anchor="supptbl-weights-1">
        <w:r>
          <w:rPr>
            <w:rStyle w:val="InternetLink"/>
          </w:rPr>
          <w:t>12</w:t>
        </w:r>
      </w:hyperlink>
      <w:r>
        <w:rPr/>
        <w:t xml:space="preserve">, </w:t>
      </w:r>
      <w:hyperlink w:anchor="supptbl-weights-2">
        <w:r>
          <w:rPr>
            <w:rStyle w:val="InternetLink"/>
          </w:rPr>
          <w:t>13</w:t>
        </w:r>
      </w:hyperlink>
      <w:r>
        <w:rPr/>
        <w:t xml:space="preserve">, </w:t>
      </w:r>
      <w:hyperlink w:anchor="supptbl-weights-3">
        <w:r>
          <w:rPr>
            <w:rStyle w:val="InternetLink"/>
          </w:rPr>
          <w:t>14</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fig-marginal-1">
        <w:r>
          <w:rPr>
            <w:rStyle w:val="InternetLink"/>
          </w:rPr>
          <w:t>Figure 1</w:t>
        </w:r>
      </w:hyperlink>
      <w:r>
        <w:rPr/>
        <w:t xml:space="preserve"> 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confidence intervals (CIs) included the null effect, though. Significant effects were observed for the paraben MEPA (MC: 0.042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(0.013, 0.071)), and the phthalate metabolites oxo-MiNP (MC: 0.023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(0.003, 0.044)), oh-MiNP (MC: 0.039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(0.001, 0.076)), and MEHP (MC: 0.036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(0.008, 0.063)). The organophosphate pesticide (OP pesticide) DETP was negatively associated with HRT-SE (MC: -0.026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(-0.054, 0.001)).</w:t>
      </w:r>
    </w:p>
    <w:p>
      <w:pPr>
        <w:pStyle w:val="TextBody"/>
        <w:rPr/>
      </w:pPr>
      <w:hyperlink w:anchor="fig-marginal-2">
        <w:r>
          <w:rPr>
            <w:rStyle w:val="InternetLink"/>
          </w:rPr>
          <w:t>Figure 2</w:t>
        </w:r>
      </w:hyperlink>
      <w:r>
        <w:rPr/>
        <w:t xml:space="preserve"> 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 The majority of the effects for the phenols and phthalate metabolites included the null. The phenol BPA showed the largest MCs across all three outcomes (cortisone production, MC: 0.263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(0.131, 0.394); cortisol production, MC: 0.274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(0.107, 0.441); corticosterone production, MC: 0.285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(0.106, 0.464)).</w:t>
      </w:r>
    </w:p>
    <w:p>
      <w:pPr>
        <w:pStyle w:val="TextBody"/>
        <w:rPr/>
      </w:pPr>
      <w:hyperlink w:anchor="fig-marginal-3">
        <w:r>
          <w:rPr>
            <w:rStyle w:val="InternetLink"/>
          </w:rPr>
          <w:t>Figure 3</w:t>
        </w:r>
      </w:hyperlink>
      <w:r>
        <w:rPr/>
        <w:t xml:space="preserve"> presents the forest plot for the MCs on the logarithmic scale of the glucocorticosteroids on HRT-SE. All MCs included the null, with no clear indication of directionality of the effect.</w:t>
      </w:r>
    </w:p>
    <w:p>
      <w:pPr>
        <w:pStyle w:val="Heading2"/>
        <w:rPr/>
      </w:pPr>
      <w:bookmarkStart w:id="20" w:name="effect-modification-by-sex"/>
      <w:r>
        <w:rPr/>
        <w:t>Effect modification by sex</w:t>
      </w:r>
    </w:p>
    <w:p>
      <w:pPr>
        <w:pStyle w:val="FirstParagraph"/>
        <w:rPr/>
      </w:pPr>
      <w:r>
        <w:rPr/>
        <w:t xml:space="preserve">Basic summary statistics of the estimated balancing weights for effect modification are presented in Supplementary Tables </w:t>
      </w:r>
      <w:hyperlink w:anchor="supptbl-weights-1sa">
        <w:r>
          <w:rPr>
            <w:rStyle w:val="InternetLink"/>
          </w:rPr>
          <w:t>15</w:t>
        </w:r>
      </w:hyperlink>
      <w:r>
        <w:rPr/>
        <w:t xml:space="preserve">, </w:t>
      </w:r>
      <w:hyperlink w:anchor="supptbl-weights-2sa">
        <w:r>
          <w:rPr>
            <w:rStyle w:val="InternetLink"/>
          </w:rPr>
          <w:t>16</w:t>
        </w:r>
      </w:hyperlink>
      <w:r>
        <w:rPr/>
        <w:t xml:space="preserve">, </w:t>
      </w:r>
      <w:hyperlink w:anchor="supptbl-weights-3sa">
        <w:r>
          <w:rPr>
            <w:rStyle w:val="InternetLink"/>
          </w:rPr>
          <w:t>17</w:t>
        </w:r>
      </w:hyperlink>
      <w:r>
        <w:rPr/>
        <w:t xml:space="preserve">. As expected, the median value of the weights for each exposure was close to </w:t>
      </w:r>
      <w:r>
        <w:rPr/>
      </w:r>
      <m:oMath xmlns:m="http://schemas.openxmlformats.org/officeDocument/2006/math">
        <m:r>
          <w:rPr>
            <w:rFonts w:ascii="Cambria Math" w:hAnsi="Cambria Math"/>
          </w:rPr>
          <m:t xml:space="preserve">1.00</m:t>
        </m:r>
      </m:oMath>
      <w:r>
        <w:rPr/>
        <w:t>.</w:t>
      </w:r>
    </w:p>
    <w:p>
      <w:pPr>
        <w:pStyle w:val="TextBody"/>
        <w:rPr/>
      </w:pPr>
      <w:hyperlink w:anchor="tbl-hypothesis-1and2">
        <w:r>
          <w:rPr>
            <w:rStyle w:val="InternetLink"/>
          </w:rPr>
          <w:t>Table 4</w:t>
        </w:r>
      </w:hyperlink>
      <w:r>
        <w:rPr/>
        <w:t xml:space="preserve"> presents the results of the difference between estimates of the MCs on the logarithmic scale for females and males, for the EDCs on the glucocorticosteroids and HRT-SE. For HRT-SE, significant differences were present for the phenol OXBE (MC: 0.032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(0.004, 0.061)) and the phthalate metabolite MbZP (MC: -0.066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(-0.126, -0.007)). For the glucocorticosteroids, significant differences were present across all three classes of EDCs and for all outcomes. The largest differences were attributable to the phenol ETPA (corticosterone production, MC: -0.254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(-0.416, -0.092)) and the phthalate metabolite MEHP (cortisol production, (MC: -0.221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(-0.289, -0.153)); cortisone production, (MC: -0.177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(-0.299, -0.055))). The forest plots of the individual MCs are presented in Supplementary Figures </w:t>
      </w:r>
      <w:hyperlink w:anchor="suppfig-marginal-1sa">
        <w:r>
          <w:rPr>
            <w:rStyle w:val="InternetLink"/>
          </w:rPr>
          <w:t>4</w:t>
        </w:r>
      </w:hyperlink>
      <w:r>
        <w:rPr/>
        <w:t xml:space="preserve"> and </w:t>
      </w:r>
      <w:hyperlink w:anchor="suppfig-marginal-2sa">
        <w:r>
          <w:rPr>
            <w:rStyle w:val="InternetLink"/>
          </w:rPr>
          <w:t>5</w:t>
        </w:r>
      </w:hyperlink>
      <w:r>
        <w:rPr/>
        <w:t>.</w:t>
      </w:r>
    </w:p>
    <w:p>
      <w:pPr>
        <w:pStyle w:val="TextBody"/>
        <w:rPr/>
      </w:pPr>
      <w:hyperlink w:anchor="tbl-hypothesis-3">
        <w:r>
          <w:rPr>
            <w:rStyle w:val="InternetLink"/>
          </w:rPr>
          <w:t>Table 5</w:t>
        </w:r>
      </w:hyperlink>
      <w:r>
        <w:rPr/>
        <w:t xml:space="preserve"> presents the results of the difference between estimates of the MCs on the logarithmic scale for females and males, for the glucocorticosteroids on HRT-SE. Significant differences were present for cortisone production (MC: 0.14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(0.019, 0.261)) and corticosterone production (MC: 0.126 and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CI: (0.009, 0.243)). Furthermore, for all exposures, the MCs had opposite sign (positive for males and negative for females). The forest plot of the individual MCs is presented in </w:t>
      </w:r>
      <w:hyperlink w:anchor="suppfig-marginal-3sa">
        <w:r>
          <w:rPr>
            <w:rStyle w:val="InternetLink"/>
          </w:rPr>
          <w:t>Figure S6</w:t>
        </w:r>
      </w:hyperlink>
      <w:r>
        <w:rPr/>
        <w:t>.</w:t>
      </w:r>
      <w:bookmarkEnd w:id="19"/>
      <w:bookmarkEnd w:id="20"/>
    </w:p>
    <w:p>
      <w:pPr>
        <w:pStyle w:val="Heading1"/>
        <w:rPr/>
      </w:pPr>
      <w:bookmarkStart w:id="21" w:name="sec-discussion"/>
      <w:bookmarkEnd w:id="21"/>
      <w:r>
        <w:rPr/>
        <w:t>Discussion</w:t>
      </w:r>
    </w:p>
    <w:p>
      <w:pPr>
        <w:pStyle w:val="FirstParagraph"/>
        <w:rPr/>
      </w:pPr>
      <w:r>
        <w:rPr/>
        <w:t>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TextBody"/>
        <w:rPr/>
      </w:pPr>
      <w:r>
        <w:rPr/>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Pr>
            <w:rStyle w:val="InternetLink"/>
          </w:rPr>
          <w:t>3</w:t>
        </w:r>
      </w:hyperlink>
      <w:r>
        <w:rPr/>
        <w:t>,</w:t>
      </w:r>
      <w:hyperlink w:anchor="X2a5c5c17453fffe785b7f0bcffd564283892c6c">
        <w:r>
          <w:rPr>
            <w:rStyle w:val="InternetLink"/>
          </w:rPr>
          <w:t>4</w:t>
        </w:r>
      </w:hyperlink>
      <w:r>
        <w:rPr/>
        <w:t>,</w:t>
      </w:r>
      <w:hyperlink w:anchor="Xa0cc0fdd8206e54b0a9b4bdcd9d2102efd24cb7">
        <w:r>
          <w:rPr>
            <w:rStyle w:val="InternetLink"/>
          </w:rPr>
          <w:t>6</w:t>
        </w:r>
      </w:hyperlink>
      <w:r>
        <w:rPr/>
        <w:t>,</w:t>
      </w:r>
      <w:hyperlink w:anchor="ref-YuDuChiou:2016">
        <w:r>
          <w:rPr>
            <w:rStyle w:val="InternetLink"/>
          </w:rPr>
          <w:t>8</w:t>
        </w:r>
      </w:hyperlink>
      <w:r>
        <w:rPr/>
        <w:t>), phthalate metabolites (</w:t>
      </w:r>
      <w:hyperlink w:anchor="ref-HuangChenSu:2015">
        <w:r>
          <w:rPr>
            <w:rStyle w:val="InternetLink"/>
          </w:rPr>
          <w:t>5</w:t>
        </w:r>
      </w:hyperlink>
      <w:r>
        <w:rPr/>
        <w:t>,</w:t>
      </w:r>
      <w:hyperlink w:anchor="ref-HuangTsaiChen:2017">
        <w:r>
          <w:rPr>
            <w:rStyle w:val="InternetLink"/>
          </w:rPr>
          <w:t>9</w:t>
        </w:r>
      </w:hyperlink>
      <w:r>
        <w:rPr/>
        <w:t>,</w:t>
      </w:r>
      <w:hyperlink w:anchor="ref-KimHongShin:2017">
        <w:r>
          <w:rPr>
            <w:rStyle w:val="InternetLink"/>
          </w:rPr>
          <w:t>10</w:t>
        </w:r>
      </w:hyperlink>
      <w:r>
        <w:rPr/>
        <w:t>,</w:t>
      </w:r>
      <w:hyperlink w:anchor="ref-ShoaffCoullWeuve:2020">
        <w:r>
          <w:rPr>
            <w:rStyle w:val="InternetLink"/>
          </w:rPr>
          <w:t>15</w:t>
        </w:r>
      </w:hyperlink>
      <w:r>
        <w:rPr/>
        <w:t>,</w:t>
      </w:r>
      <w:hyperlink w:anchor="ref-VilmandBeckBilenberg:2023">
        <w:r>
          <w:rPr>
            <w:rStyle w:val="InternetLink"/>
          </w:rPr>
          <w:t>17</w:t>
        </w:r>
      </w:hyperlink>
      <w:r>
        <w:rPr/>
        <w:t>,</w:t>
      </w:r>
      <w:hyperlink w:anchor="ref-LiPapandonatosCalafat:2019">
        <w:r>
          <w:rPr>
            <w:rStyle w:val="InternetLink"/>
          </w:rPr>
          <w:t>46</w:t>
        </w:r>
      </w:hyperlink>
      <w:r>
        <w:rPr/>
        <w:t>–</w:t>
      </w:r>
      <w:hyperlink w:anchor="ref-JankowskaPolanskaHanke:2019">
        <w:r>
          <w:rPr>
            <w:rStyle w:val="InternetLink"/>
          </w:rPr>
          <w:t>48</w:t>
        </w:r>
      </w:hyperlink>
      <w:r>
        <w:rPr/>
        <w:t>), and BPA (</w:t>
      </w:r>
      <w:hyperlink w:anchor="ref-TewarAuingerBraun:2016">
        <w:r>
          <w:rPr>
            <w:rStyle w:val="InternetLink"/>
          </w:rPr>
          <w:t>7</w:t>
        </w:r>
      </w:hyperlink>
      <w:r>
        <w:rPr/>
        <w:t>,</w:t>
      </w:r>
      <w:hyperlink w:anchor="ref-LiZhangKuang:2018">
        <w:r>
          <w:rPr>
            <w:rStyle w:val="InternetLink"/>
          </w:rPr>
          <w:t>13</w:t>
        </w:r>
      </w:hyperlink>
      <w:r>
        <w:rPr/>
        <w:t>,</w:t>
      </w:r>
      <w:hyperlink w:anchor="X71fca68020aad3c79232160399444b9923ab76e">
        <w:r>
          <w:rPr>
            <w:rStyle w:val="InternetLink"/>
          </w:rPr>
          <w:t>14</w:t>
        </w:r>
      </w:hyperlink>
      <w:r>
        <w:rPr/>
        <w:t>).</w:t>
      </w:r>
    </w:p>
    <w:p>
      <w:pPr>
        <w:pStyle w:val="TextBody"/>
        <w:rPr/>
      </w:pPr>
      <w:r>
        <w:rPr/>
        <w:t>In children aged 6 to 11 years, higher levels of dialkylphosphate (DAP) metabolites were associated with lower scores of intelligence quotient (IQ) and verbal comprehension, especially in boys (</w:t>
      </w:r>
      <w:hyperlink w:anchor="X2a5c5c17453fffe785b7f0bcffd564283892c6c">
        <w:r>
          <w:rPr>
            <w:rStyle w:val="InternetLink"/>
          </w:rPr>
          <w:t>4</w:t>
        </w:r>
      </w:hyperlink>
      <w:r>
        <w:rPr/>
        <w:t>), while higher levels of diethylphosphate metabolites were associated with lower working memory scores (</w:t>
      </w:r>
      <w:hyperlink w:anchor="Xa0cc0fdd8206e54b0a9b4bdcd9d2102efd24cb7">
        <w:r>
          <w:rPr>
            <w:rStyle w:val="InternetLink"/>
          </w:rPr>
          <w:t>6</w:t>
        </w:r>
      </w:hyperlink>
      <w:r>
        <w:rPr/>
        <w:t>). There is also preliminary evidence of a possible association between exposure to certain OP pesticides and Attention-Deficit / Hyperactivity Disorder (ADHD) in children (</w:t>
      </w:r>
      <w:hyperlink w:anchor="ref-BouchardBellingerWright:2010">
        <w:r>
          <w:rPr>
            <w:rStyle w:val="InternetLink"/>
          </w:rPr>
          <w:t>3</w:t>
        </w:r>
      </w:hyperlink>
      <w:r>
        <w:rPr/>
        <w:t>,</w:t>
      </w:r>
      <w:hyperlink w:anchor="ref-YuDuChiou:2016">
        <w:r>
          <w:rPr>
            <w:rStyle w:val="InternetLink"/>
          </w:rPr>
          <w:t>8</w:t>
        </w:r>
      </w:hyperlink>
      <w:r>
        <w:rPr/>
        <w:t>).</w:t>
      </w:r>
    </w:p>
    <w:p>
      <w:pPr>
        <w:pStyle w:val="TextBody"/>
        <w:rPr/>
      </w:pPr>
      <w:r>
        <w:rPr/>
        <w:t>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 (</w:t>
      </w:r>
      <w:hyperlink w:anchor="ref-HuangChenSu:2015">
        <w:r>
          <w:rPr>
            <w:rStyle w:val="InternetLink"/>
          </w:rPr>
          <w:t>5</w:t>
        </w:r>
      </w:hyperlink>
      <w:r>
        <w:rPr/>
        <w:t>), lower scores of IQ and verbal intelligence, more omission errors (a measure of inattention), and higher scores of response time variability (a measure of sustained attention) in 6-year old Korean children (</w:t>
      </w:r>
      <w:hyperlink w:anchor="ref-KimHongShin:2017">
        <w:r>
          <w:rPr>
            <w:rStyle w:val="InternetLink"/>
          </w:rPr>
          <w:t>10</w:t>
        </w:r>
      </w:hyperlink>
      <w:r>
        <w:rPr/>
        <w:t>), poorer fine motor skills in preadolescent boys (</w:t>
      </w:r>
      <w:hyperlink w:anchor="ref-BalalianWhyattLiu:2019">
        <w:r>
          <w:rPr>
            <w:rStyle w:val="InternetLink"/>
          </w:rPr>
          <w:t>47</w:t>
        </w:r>
      </w:hyperlink>
      <w:r>
        <w:rPr/>
        <w:t>), and lower intelligence scores in 7-year old children (</w:t>
      </w:r>
      <w:hyperlink w:anchor="ref-VilmandBeckBilenberg:2023">
        <w:r>
          <w:rPr>
            <w:rStyle w:val="InternetLink"/>
          </w:rPr>
          <w:t>17</w:t>
        </w:r>
      </w:hyperlink>
      <w:r>
        <w:rPr/>
        <w:t>). Further associations were found for MEOHP with lower scores of IQ (</w:t>
      </w:r>
      <w:hyperlink w:anchor="ref-HuangChenSu:2015">
        <w:r>
          <w:rPr>
            <w:rStyle w:val="InternetLink"/>
          </w:rPr>
          <w:t>5</w:t>
        </w:r>
      </w:hyperlink>
      <w:r>
        <w:rPr/>
        <w:t>) and verbal intelligence in Taiwanese children aged 6 to 12 years (</w:t>
      </w:r>
      <w:hyperlink w:anchor="ref-HuangTsaiChen:2017">
        <w:r>
          <w:rPr>
            <w:rStyle w:val="InternetLink"/>
          </w:rPr>
          <w:t>9</w:t>
        </w:r>
      </w:hyperlink>
      <w:r>
        <w:rPr/>
        <w:t>), and for dibutyl phthalate metabolites (MnBP and MiBP) with impaired verbal intelligence (</w:t>
      </w:r>
      <w:hyperlink w:anchor="ref-HuangTsaiChen:2017">
        <w:r>
          <w:rPr>
            <w:rStyle w:val="InternetLink"/>
          </w:rPr>
          <w:t>9</w:t>
        </w:r>
      </w:hyperlink>
      <w:r>
        <w:rPr/>
        <w:t>). 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especially in boys (</w:t>
      </w:r>
      <w:hyperlink w:anchor="ref-ShoaffCoullWeuve:2020">
        <w:r>
          <w:rPr>
            <w:rStyle w:val="InternetLink"/>
          </w:rPr>
          <w:t>15</w:t>
        </w:r>
      </w:hyperlink>
      <w:r>
        <w:rPr/>
        <w:t>).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TextBody"/>
        <w:rPr/>
      </w:pPr>
      <w:r>
        <w:rPr/>
        <w:t>Among phenols, some studies provide preliminary evidence of an association between BPA and ADHD in children aged 8 to 15 years (</w:t>
      </w:r>
      <w:hyperlink w:anchor="ref-TewarAuingerBraun:2016">
        <w:r>
          <w:rPr>
            <w:rStyle w:val="InternetLink"/>
          </w:rPr>
          <w:t>7</w:t>
        </w:r>
      </w:hyperlink>
      <w:r>
        <w:rPr/>
        <w:t>) and in a case-control study of children aged 6 to 12 years (</w:t>
      </w:r>
      <w:hyperlink w:anchor="ref-LiZhangKuang:2018">
        <w:r>
          <w:rPr>
            <w:rStyle w:val="InternetLink"/>
          </w:rPr>
          <w:t>13</w:t>
        </w:r>
      </w:hyperlink>
      <w:r>
        <w:rPr/>
        <w:t>), especially in boys. Except for working memory, there was no evidence of an association between BPA and cognitive abilities in Spanish boys aged 9 to 11 years (</w:t>
      </w:r>
      <w:hyperlink w:anchor="X71fca68020aad3c79232160399444b9923ab76e">
        <w:r>
          <w:rPr>
            <w:rStyle w:val="InternetLink"/>
          </w:rPr>
          <w:t>14</w:t>
        </w:r>
      </w:hyperlink>
      <w:r>
        <w:rPr/>
        <w:t>). We did not observe an association between BPA and attention function in the present study, but this study is the first to suggest that childhood paraben (MEPA) exposure may be associated with attentional function.</w:t>
      </w:r>
    </w:p>
    <w:p>
      <w:pPr>
        <w:pStyle w:val="TextBody"/>
        <w:rPr/>
      </w:pPr>
      <w:r>
        <w:rPr/>
        <w:t>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 (</w:t>
      </w:r>
      <w:hyperlink w:anchor="ref-KimLeeMoon:2018">
        <w:r>
          <w:rPr>
            <w:rStyle w:val="InternetLink"/>
          </w:rPr>
          <w:t>18</w:t>
        </w:r>
      </w:hyperlink>
      <w:r>
        <w:rPr/>
        <w:t>–</w:t>
      </w:r>
      <w:hyperlink w:anchor="ref-SearsLiuLanphear:2023">
        <w:r>
          <w:rPr>
            <w:rStyle w:val="InternetLink"/>
          </w:rPr>
          <w:t>20</w:t>
        </w:r>
      </w:hyperlink>
      <w:r>
        <w:rPr/>
        <w:t>). Repeated measures up to 15 months of age of the phthalate metabolites MEHHP, MEOHP, MiBP, and MnBP showed positive associations with free cortisol in urine in Korean children (</w:t>
      </w:r>
      <w:hyperlink w:anchor="ref-KimLeeMoon:2018">
        <w:r>
          <w:rPr>
            <w:rStyle w:val="InternetLink"/>
          </w:rPr>
          <w:t>18</w:t>
        </w:r>
      </w:hyperlink>
      <w:r>
        <w:rPr/>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Pr>
            <w:rStyle w:val="InternetLink"/>
          </w:rPr>
          <w:t>19</w:t>
        </w:r>
      </w:hyperlink>
      <w:r>
        <w:rPr/>
        <w:t>). Time- and chemical-dependent sex differences were also found: during the third trimester, MEHHP and MEOHP were positively associated with cortisol in females, while negatively associated in males (</w:t>
      </w:r>
      <w:hyperlink w:anchor="ref-SunLiJin:2018">
        <w:r>
          <w:rPr>
            <w:rStyle w:val="InternetLink"/>
          </w:rPr>
          <w:t>19</w:t>
        </w:r>
      </w:hyperlink>
      <w:r>
        <w:rPr/>
        <w:t>). In a longitudinal study, a mixture of several phthalate metabolites, driven by MEP, MiBP, and MBzP, measured in childhood, showed a positive association with hair cortisol measured at 12 years of age (</w:t>
      </w:r>
      <w:hyperlink w:anchor="ref-SearsLiuLanphear:2023">
        <w:r>
          <w:rPr>
            <w:rStyle w:val="InternetLink"/>
          </w:rPr>
          <w:t>20</w:t>
        </w:r>
      </w:hyperlink>
      <w:r>
        <w:rPr/>
        <w:t>). Our findings also indicate associations between certain phthalate metabolites (MEHP, oh-MiNP, and oxo-MiNP) and glucocorticosteroids, but differences in the exposure assessment time points and in the biological matrices used for glucocorticosteroids determinations make a direct comparison difficult.</w:t>
      </w:r>
    </w:p>
    <w:p>
      <w:pPr>
        <w:pStyle w:val="TextBody"/>
        <w:rPr/>
      </w:pPr>
      <w:r>
        <w:rPr/>
        <w:t>Adding to these epidemiological studies, previous toxicological research provide evidence for the inhibition by phthalates of human 11</w:t>
      </w:r>
      <w:r>
        <w:rPr/>
      </w:r>
      <m:oMath xmlns:m="http://schemas.openxmlformats.org/officeDocument/2006/math">
        <m:r>
          <w:rPr>
            <w:rFonts w:ascii="Cambria Math" w:hAnsi="Cambria Math"/>
          </w:rPr>
          <m:t xml:space="preserve">β</m:t>
        </m:r>
      </m:oMath>
      <w:r>
        <w:rPr/>
        <w:t>-hydroxysteroid dehydrogenase 2 (11</w:t>
      </w:r>
      <w:r>
        <w:rPr/>
      </w:r>
      <m:oMath xmlns:m="http://schemas.openxmlformats.org/officeDocument/2006/math">
        <m:r>
          <w:rPr>
            <w:rFonts w:ascii="Cambria Math" w:hAnsi="Cambria Math"/>
          </w:rPr>
          <m:t xml:space="preserve">β</m:t>
        </m:r>
      </m:oMath>
      <w:r>
        <w:rPr/>
        <w:t>-HSD2) activity, responsible for the conversion of active cortisol into inactive cortisone (</w:t>
      </w:r>
      <w:hyperlink w:anchor="ref-ZhaoChuHuang:2010">
        <w:r>
          <w:rPr>
            <w:rStyle w:val="InternetLink"/>
          </w:rPr>
          <w:t>49</w:t>
        </w:r>
      </w:hyperlink>
      <w:r>
        <w:rPr/>
        <w:t>,</w:t>
      </w:r>
      <w:hyperlink w:anchor="ref-MaLianDong:2011">
        <w:r>
          <w:rPr>
            <w:rStyle w:val="InternetLink"/>
          </w:rPr>
          <w:t>50</w:t>
        </w:r>
      </w:hyperlink>
      <w:r>
        <w:rPr/>
        <w:t xml:space="preserve">). There is also </w:t>
      </w:r>
      <w:r>
        <w:rPr>
          <w:i/>
          <w:iCs/>
        </w:rPr>
        <w:t>in silico</w:t>
      </w:r>
      <w:r>
        <w:rPr/>
        <w:t xml:space="preserve"> evidence suggesting that BPA, a phenol, and Triazophos (TAP), a organophosphorus insecticide, can bind to the human glucocorticoid receptor (</w:t>
      </w:r>
      <w:hyperlink w:anchor="ref-PrasanthDivyaSadasivan:2010">
        <w:r>
          <w:rPr>
            <w:rStyle w:val="InternetLink"/>
          </w:rPr>
          <w:t>51</w:t>
        </w:r>
      </w:hyperlink>
      <w:r>
        <w:rPr/>
        <w:t>,</w:t>
      </w:r>
      <w:hyperlink w:anchor="ref-YangLiRen:2019">
        <w:r>
          <w:rPr>
            <w:rStyle w:val="InternetLink"/>
          </w:rPr>
          <w:t>52</w:t>
        </w:r>
      </w:hyperlink>
      <w:r>
        <w:rPr/>
        <w:t>).</w:t>
      </w:r>
    </w:p>
    <w:p>
      <w:pPr>
        <w:pStyle w:val="TextBody"/>
        <w:rPr/>
      </w:pPr>
      <w:r>
        <w:rPr/>
        <w:t>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 (</w:t>
      </w:r>
      <w:hyperlink w:anchor="ref-LupienMcEwenGunnar:2009">
        <w:r>
          <w:rPr>
            <w:rStyle w:val="InternetLink"/>
          </w:rPr>
          <w:t>21</w:t>
        </w:r>
      </w:hyperlink>
      <w:r>
        <w:rPr/>
        <w:t>).</w:t>
      </w:r>
    </w:p>
    <w:p>
      <w:pPr>
        <w:pStyle w:val="TextBody"/>
        <w:rPr/>
      </w:pPr>
      <w:r>
        <w:rPr/>
        <w:t>Our findings should be interpreted in light of the following strengths and limitations. Strengths include its relative large sample size and its inclusion of multiple classes of non-persistent EDCs. Further, this study used pooled urine samples for chemical assessment to obtain more representative long-term exposures, since it is known that these specific EDCs have very short half-lives (</w:t>
      </w:r>
      <w:hyperlink w:anchor="ref-PerrierGiorgis-AllemandSlama:2016">
        <w:r>
          <w:rPr>
            <w:rStyle w:val="InternetLink"/>
          </w:rPr>
          <w:t>53</w:t>
        </w:r>
      </w:hyperlink>
      <w:r>
        <w:rPr/>
        <w:t>,</w:t>
      </w:r>
      <w:hyperlink w:anchor="ref-CasasBasaganaSakhi:2018">
        <w:r>
          <w:rPr>
            <w:rStyle w:val="InternetLink"/>
          </w:rPr>
          <w:t>54</w:t>
        </w:r>
      </w:hyperlink>
      <w:r>
        <w:rPr/>
        <w:t xml:space="preserve">). We decided to model both the </w:t>
      </w:r>
      <w:r>
        <w:rPr>
          <w:i/>
          <w:iCs/>
        </w:rPr>
        <w:t>treatment</w:t>
      </w:r>
      <w:r>
        <w:rPr/>
        <w:t xml:space="preserve"> mechanisms, for the estimation of balancing weights, and the outcomes, with traditional covariates adjustment, to try to obtain </w:t>
      </w:r>
      <w:r>
        <w:rPr>
          <w:i/>
          <w:iCs/>
        </w:rPr>
        <w:t>doubly robust</w:t>
      </w:r>
      <w:r>
        <w:rPr/>
        <w:t xml:space="preserve"> effect estimates. Finally, we decided not to interpret our results by focusing on the estimated coefficients of possibly misspecified regression models, but by making use of the g-computation procedure.</w:t>
      </w:r>
    </w:p>
    <w:p>
      <w:pPr>
        <w:pStyle w:val="TextBody"/>
        <w:rPr/>
      </w:pPr>
      <w:r>
        <w:rPr/>
        <w:t>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There is further the possibility of misspecification of the outcome model, although we included a spline of the exposure to relax some of the linearity assumptions.</w:t>
      </w:r>
    </w:p>
    <w:p>
      <w:pPr>
        <w:pStyle w:val="TextBody"/>
        <w:rPr/>
      </w:pPr>
      <w:r>
        <w:rPr/>
        <w:t>In conclusion, in a study of 1,297 children from 6 European birth cohorts, we observed that (i) exposure to non-persistent EDCs might have short-term effects on HRT-SE, (ii) exposure to non-persistent EDCs might disrupt the HPA axis, and (iii) disruption of the HPA axis might have short-term, sex-specific effects on HRT-SE.</w:t>
      </w:r>
    </w:p>
    <w:p>
      <w:pPr>
        <w:pStyle w:val="Normal"/>
        <w:rPr/>
      </w:pPr>
      <w:r>
        <w:rPr/>
      </w:r>
      <w:bookmarkStart w:id="22" w:name="sec-discussion"/>
      <w:bookmarkStart w:id="23" w:name="sec-discussion"/>
      <w:bookmarkEnd w:id="23"/>
      <w:r>
        <w:br w:type="page"/>
      </w:r>
    </w:p>
    <w:p>
      <w:pPr>
        <w:pStyle w:val="Heading1"/>
        <w:rPr/>
      </w:pPr>
      <w:bookmarkStart w:id="24" w:name="references"/>
      <w:bookmarkEnd w:id="24"/>
      <w:r>
        <w:rPr/>
        <w:t>References</w:t>
      </w:r>
    </w:p>
    <w:p>
      <w:pPr>
        <w:pStyle w:val="Bibliography"/>
        <w:rPr/>
      </w:pPr>
      <w:bookmarkStart w:id="25" w:name="refs"/>
      <w:bookmarkStart w:id="26" w:name="ref-GrandjeanLandrigan%3A2014"/>
      <w:r>
        <w:rPr/>
        <w:t xml:space="preserve">1. </w:t>
        <w:tab/>
        <w:t xml:space="preserve">Grandjean P, Landrigan PJ. </w:t>
      </w:r>
      <w:hyperlink r:id="rId2">
        <w:r>
          <w:rPr>
            <w:rStyle w:val="InternetLink"/>
          </w:rPr>
          <w:t>Neurobehavioural effects of developmental toxicity</w:t>
        </w:r>
      </w:hyperlink>
      <w:r>
        <w:rPr/>
        <w:t xml:space="preserve">. </w:t>
      </w:r>
      <w:r>
        <w:rPr>
          <w:i/>
          <w:iCs/>
        </w:rPr>
        <w:t>Lancet Neurol</w:t>
      </w:r>
      <w:r>
        <w:rPr/>
        <w:t xml:space="preserve">. 2014;13(3):330–338. </w:t>
      </w:r>
      <w:bookmarkEnd w:id="26"/>
    </w:p>
    <w:p>
      <w:pPr>
        <w:pStyle w:val="Bibliography"/>
        <w:rPr/>
      </w:pPr>
      <w:bookmarkStart w:id="27" w:name="Xd81cf38a3b251ec377f8aa13b097ea9d0c190e3"/>
      <w:r>
        <w:rPr/>
        <w:t xml:space="preserve">2. </w:t>
        <w:tab/>
        <w:t xml:space="preserve">Ramírez V, Gálvez-Ontiveros Y, González-Domenech PJ, et al. Role of endocrine disrupting chemicals in children’s neurodevelopment. </w:t>
      </w:r>
      <w:r>
        <w:rPr>
          <w:i/>
          <w:iCs/>
        </w:rPr>
        <w:t>Environmental Research</w:t>
      </w:r>
      <w:r>
        <w:rPr/>
        <w:t xml:space="preserve"> [electronic article]. 2022;203:111890. (</w:t>
      </w:r>
      <w:hyperlink r:id="rId3">
        <w:r>
          <w:rPr>
            <w:rStyle w:val="InternetLink"/>
          </w:rPr>
          <w:t>https://www.sciencedirect.com/science/article/pii/S0013935121011853</w:t>
        </w:r>
      </w:hyperlink>
      <w:r>
        <w:rPr/>
        <w:t>). (Accessed January 31, 2023)</w:t>
      </w:r>
      <w:bookmarkEnd w:id="27"/>
    </w:p>
    <w:p>
      <w:pPr>
        <w:pStyle w:val="Bibliography"/>
        <w:rPr/>
      </w:pPr>
      <w:bookmarkStart w:id="28" w:name="ref-BouchardBellingerWright%3A2010"/>
      <w:r>
        <w:rPr/>
        <w:t xml:space="preserve">3. </w:t>
        <w:tab/>
        <w:t xml:space="preserve">Bouchard MF, Bellinger DC, Wright RO, et al. Attention-Deficit/Hyperactivity Disorder and Urinary Metabolites of Organophosphate Pesticides. </w:t>
      </w:r>
      <w:r>
        <w:rPr>
          <w:i/>
          <w:iCs/>
        </w:rPr>
        <w:t>Pediatrics</w:t>
      </w:r>
      <w:r>
        <w:rPr/>
        <w:t xml:space="preserve"> [electronic article]. 2010;125(6):e1270–e1277. (</w:t>
      </w:r>
      <w:hyperlink r:id="rId4">
        <w:r>
          <w:rPr>
            <w:rStyle w:val="InternetLink"/>
          </w:rPr>
          <w:t>https://doi.org/10.1542/peds.2009-3058</w:t>
        </w:r>
      </w:hyperlink>
      <w:r>
        <w:rPr/>
        <w:t>). (Accessed December 29, 2023)</w:t>
      </w:r>
      <w:bookmarkEnd w:id="28"/>
    </w:p>
    <w:p>
      <w:pPr>
        <w:pStyle w:val="Bibliography"/>
        <w:rPr/>
      </w:pPr>
      <w:bookmarkStart w:id="29" w:name="X2a5c5c17453fffe785b7f0bcffd564283892c6c"/>
      <w:r>
        <w:rPr/>
        <w:t xml:space="preserve">4. </w:t>
        <w:tab/>
        <w:t xml:space="preserve">González-Alzaga B, Hernández AF, Rodríguez-Barranco M, et al. Pre- and postnatal exposures to pesticides and neurodevelopmental effects in children living in agricultural communities from South-Eastern Spain. </w:t>
      </w:r>
      <w:r>
        <w:rPr>
          <w:i/>
          <w:iCs/>
        </w:rPr>
        <w:t>Environment International</w:t>
      </w:r>
      <w:r>
        <w:rPr/>
        <w:t xml:space="preserve"> [electronic article]. 2015;85:229–237. (</w:t>
      </w:r>
      <w:hyperlink r:id="rId5">
        <w:r>
          <w:rPr>
            <w:rStyle w:val="InternetLink"/>
          </w:rPr>
          <w:t>https://www.sciencedirect.com/science/article/pii/S0160412015300593</w:t>
        </w:r>
      </w:hyperlink>
      <w:r>
        <w:rPr/>
        <w:t>). (Accessed December 29, 2023)</w:t>
      </w:r>
      <w:bookmarkEnd w:id="29"/>
    </w:p>
    <w:p>
      <w:pPr>
        <w:pStyle w:val="Bibliography"/>
        <w:rPr/>
      </w:pPr>
      <w:bookmarkStart w:id="30" w:name="ref-HuangChenSu%3A2015"/>
      <w:r>
        <w:rPr/>
        <w:t xml:space="preserve">5. </w:t>
        <w:tab/>
        <w:t xml:space="preserve">Huang H-B, Chen H-Y, Su P-H, et al. Fetal and Childhood Exposure to Phthalate Diesters and Cognitive Function in Children Up to 12 Years of Age: Taiwanese Maternal and Infant Cohort Study. </w:t>
      </w:r>
      <w:r>
        <w:rPr>
          <w:i/>
          <w:iCs/>
        </w:rPr>
        <w:t>PLOS ONE</w:t>
      </w:r>
      <w:r>
        <w:rPr/>
        <w:t xml:space="preserve"> [electronic article]. 2015;10(6):e0131910. (</w:t>
      </w:r>
      <w:hyperlink r:id="rId6">
        <w:r>
          <w:rPr>
            <w:rStyle w:val="InternetLink"/>
          </w:rPr>
          <w:t>https://journals.plos.org/plosone/article?id=10.1371/journal.pone.0131910</w:t>
        </w:r>
      </w:hyperlink>
      <w:r>
        <w:rPr/>
        <w:t>). (Accessed December 29, 2023)</w:t>
      </w:r>
      <w:bookmarkEnd w:id="30"/>
    </w:p>
    <w:p>
      <w:pPr>
        <w:pStyle w:val="Bibliography"/>
        <w:rPr/>
      </w:pPr>
      <w:bookmarkStart w:id="31" w:name="Xa0cc0fdd8206e54b0a9b4bdcd9d2102efd24cb7"/>
      <w:r>
        <w:rPr/>
        <w:t xml:space="preserve">6. </w:t>
        <w:tab/>
        <w:t xml:space="preserve">Cartier C, Warembourg C, Le Maner-Idrissi G, et al. Organophosphate Insecticide Metabolites in Prenatal and Childhood Urine Samples and Intelligence Scores at 6 Years of Age: Results from the Mother–Child PELAGIE Cohort (France). </w:t>
      </w:r>
      <w:r>
        <w:rPr>
          <w:i/>
          <w:iCs/>
        </w:rPr>
        <w:t>Environmental Health Perspectives</w:t>
      </w:r>
      <w:r>
        <w:rPr/>
        <w:t xml:space="preserve"> [electronic article]. 2016;124(5):674–680. (</w:t>
      </w:r>
      <w:hyperlink r:id="rId7">
        <w:r>
          <w:rPr>
            <w:rStyle w:val="InternetLink"/>
          </w:rPr>
          <w:t>https://ehp.niehs.nih.gov/doi/10.1289/ehp.1409472</w:t>
        </w:r>
      </w:hyperlink>
      <w:r>
        <w:rPr/>
        <w:t>). (Accessed December 29, 2023)</w:t>
      </w:r>
      <w:bookmarkEnd w:id="31"/>
    </w:p>
    <w:p>
      <w:pPr>
        <w:pStyle w:val="Bibliography"/>
        <w:rPr/>
      </w:pPr>
      <w:bookmarkStart w:id="32" w:name="ref-TewarAuingerBraun%3A2016"/>
      <w:r>
        <w:rPr/>
        <w:t xml:space="preserve">7. </w:t>
        <w:tab/>
        <w:t xml:space="preserve">Tewar S, Auinger P, Braun JM, et al. Association of Bisphenol A exposure and Attention-Deficit/Hyperactivity Disorder in a national sample of U.S. children. </w:t>
      </w:r>
      <w:r>
        <w:rPr>
          <w:i/>
          <w:iCs/>
        </w:rPr>
        <w:t>Environmental Research</w:t>
      </w:r>
      <w:r>
        <w:rPr/>
        <w:t xml:space="preserve"> [electronic article]. 2016;150:112–118. (</w:t>
      </w:r>
      <w:hyperlink r:id="rId8">
        <w:r>
          <w:rPr>
            <w:rStyle w:val="InternetLink"/>
          </w:rPr>
          <w:t>https://www.sciencedirect.com/science/article/pii/S0013935116302110</w:t>
        </w:r>
      </w:hyperlink>
      <w:r>
        <w:rPr/>
        <w:t>). (Accessed December 29, 2023)</w:t>
      </w:r>
      <w:bookmarkEnd w:id="32"/>
    </w:p>
    <w:p>
      <w:pPr>
        <w:pStyle w:val="Bibliography"/>
        <w:rPr/>
      </w:pPr>
      <w:bookmarkStart w:id="33" w:name="ref-YuDuChiou%3A2016"/>
      <w:r>
        <w:rPr/>
        <w:t xml:space="preserve">8. </w:t>
        <w:tab/>
        <w:t xml:space="preserve">Yu C-J, Du J-C, Chiou H-C, et al. Increased risk of attention-deficit/hyperactivity disorder associated with exposure to organophosphate pesticide in Taiwanese children. </w:t>
      </w:r>
      <w:r>
        <w:rPr>
          <w:i/>
          <w:iCs/>
        </w:rPr>
        <w:t>Andrology</w:t>
      </w:r>
      <w:r>
        <w:rPr/>
        <w:t xml:space="preserve"> [electronic article]. 2016;4(4):695–705. (</w:t>
      </w:r>
      <w:hyperlink r:id="rId9">
        <w:r>
          <w:rPr>
            <w:rStyle w:val="InternetLink"/>
          </w:rPr>
          <w:t>https://onlinelibrary.wiley.com/doi/abs/10.1111/andr.12183</w:t>
        </w:r>
      </w:hyperlink>
      <w:r>
        <w:rPr/>
        <w:t>). (Accessed December 29, 2023)</w:t>
      </w:r>
      <w:bookmarkEnd w:id="33"/>
    </w:p>
    <w:p>
      <w:pPr>
        <w:pStyle w:val="Bibliography"/>
        <w:rPr/>
      </w:pPr>
      <w:bookmarkStart w:id="34" w:name="ref-HuangTsaiChen%3A2017"/>
      <w:r>
        <w:rPr/>
        <w:t xml:space="preserve">9. </w:t>
        <w:tab/>
        <w:t xml:space="preserve">Huang P-C, Tsai C-H, Chen C-C, et al. Intellectual evaluation of children exposed to phthalate-tainted products after the 2011 Taiwan phthalate episode. </w:t>
      </w:r>
      <w:r>
        <w:rPr>
          <w:i/>
          <w:iCs/>
        </w:rPr>
        <w:t>Environmental Research</w:t>
      </w:r>
      <w:r>
        <w:rPr/>
        <w:t xml:space="preserve"> [electronic article]. 2017;156:158–166. (</w:t>
      </w:r>
      <w:hyperlink r:id="rId10">
        <w:r>
          <w:rPr>
            <w:rStyle w:val="InternetLink"/>
          </w:rPr>
          <w:t>https://www.sciencedirect.com/science/article/pii/S0013935116309112</w:t>
        </w:r>
      </w:hyperlink>
      <w:r>
        <w:rPr/>
        <w:t>). (Accessed December 29, 2023)</w:t>
      </w:r>
      <w:bookmarkEnd w:id="34"/>
    </w:p>
    <w:p>
      <w:pPr>
        <w:pStyle w:val="Bibliography"/>
        <w:rPr/>
      </w:pPr>
      <w:bookmarkStart w:id="35" w:name="ref-KimHongShin%3A2017"/>
      <w:r>
        <w:rPr/>
        <w:t xml:space="preserve">10. </w:t>
        <w:tab/>
        <w:t xml:space="preserve">Kim JI, Hong Y-C, Shin CH, et al. The effects of maternal and children phthalate exposure on the neurocognitive function of 6-year-old children. </w:t>
      </w:r>
      <w:r>
        <w:rPr>
          <w:i/>
          <w:iCs/>
        </w:rPr>
        <w:t>Environmental Research</w:t>
      </w:r>
      <w:r>
        <w:rPr/>
        <w:t xml:space="preserve"> [electronic article]. 2017;156:519–525. (</w:t>
      </w:r>
      <w:hyperlink r:id="rId11">
        <w:r>
          <w:rPr>
            <w:rStyle w:val="InternetLink"/>
          </w:rPr>
          <w:t>https://www.sciencedirect.com/science/article/pii/S0013935116312828</w:t>
        </w:r>
      </w:hyperlink>
      <w:r>
        <w:rPr/>
        <w:t>). (Accessed December 29, 2023)</w:t>
      </w:r>
      <w:bookmarkEnd w:id="35"/>
    </w:p>
    <w:p>
      <w:pPr>
        <w:pStyle w:val="Bibliography"/>
        <w:rPr/>
      </w:pPr>
      <w:bookmarkStart w:id="36" w:name="ref-FurlongHerringBuckley%3A2017"/>
      <w:r>
        <w:rPr/>
        <w:t xml:space="preserve">11. </w:t>
        <w:tab/>
        <w:t xml:space="preserve">Furlong MA, Herring A, Buckley JP, et al. Prenatal exposure to organophosphorus pesticides and childhood neurodevelopmental phenotypes. </w:t>
      </w:r>
      <w:r>
        <w:rPr>
          <w:i/>
          <w:iCs/>
        </w:rPr>
        <w:t>Environmental Research</w:t>
      </w:r>
      <w:r>
        <w:rPr/>
        <w:t xml:space="preserve"> [electronic article]. 2017;158:737–747. (</w:t>
      </w:r>
      <w:hyperlink r:id="rId12">
        <w:r>
          <w:rPr>
            <w:rStyle w:val="InternetLink"/>
          </w:rPr>
          <w:t>https://www.sciencedirect.com/science/article/pii/S0013935117301044</w:t>
        </w:r>
      </w:hyperlink>
      <w:r>
        <w:rPr/>
        <w:t>). (Accessed January 31, 2023)</w:t>
      </w:r>
      <w:bookmarkEnd w:id="36"/>
    </w:p>
    <w:p>
      <w:pPr>
        <w:pStyle w:val="Bibliography"/>
        <w:rPr/>
      </w:pPr>
      <w:bookmarkStart w:id="37" w:name="ref-Braun%3A2017"/>
      <w:r>
        <w:rPr/>
        <w:t xml:space="preserve">12. </w:t>
        <w:tab/>
        <w:t xml:space="preserve">Braun JM. Early-life exposure to EDCs: Role in childhood obesity and neurodevelopment. </w:t>
      </w:r>
      <w:r>
        <w:rPr>
          <w:i/>
          <w:iCs/>
        </w:rPr>
        <w:t>Nat Rev Endocrinol</w:t>
      </w:r>
      <w:r>
        <w:rPr/>
        <w:t xml:space="preserve"> [electronic article]. 2017;13(3, 3):161–173. (</w:t>
      </w:r>
      <w:hyperlink r:id="rId13">
        <w:r>
          <w:rPr>
            <w:rStyle w:val="InternetLink"/>
          </w:rPr>
          <w:t>https://www.nature.com/articles/nrendo.2016.186</w:t>
        </w:r>
      </w:hyperlink>
      <w:r>
        <w:rPr/>
        <w:t>). (Accessed December 19, 2023)</w:t>
      </w:r>
      <w:bookmarkEnd w:id="37"/>
    </w:p>
    <w:p>
      <w:pPr>
        <w:pStyle w:val="Bibliography"/>
        <w:rPr/>
      </w:pPr>
      <w:bookmarkStart w:id="38" w:name="ref-LiZhangKuang%3A2018"/>
      <w:r>
        <w:rPr/>
        <w:t xml:space="preserve">13. </w:t>
        <w:tab/>
        <w:t xml:space="preserve">Li Y, Zhang H, Kuang H, et al. Relationship between bisphenol A exposure and attention-deficit/ hyperactivity disorder: A case-control study for primary school children in Guangzhou, China. </w:t>
      </w:r>
      <w:r>
        <w:rPr>
          <w:i/>
          <w:iCs/>
        </w:rPr>
        <w:t>Environmental Pollution</w:t>
      </w:r>
      <w:r>
        <w:rPr/>
        <w:t xml:space="preserve"> [electronic article]. 2018;235:141–149. (</w:t>
      </w:r>
      <w:hyperlink r:id="rId14">
        <w:r>
          <w:rPr>
            <w:rStyle w:val="InternetLink"/>
          </w:rPr>
          <w:t>https://www.sciencedirect.com/science/article/pii/S0269749117327884</w:t>
        </w:r>
      </w:hyperlink>
      <w:r>
        <w:rPr/>
        <w:t>). (Accessed December 29, 2023)</w:t>
      </w:r>
      <w:bookmarkEnd w:id="38"/>
    </w:p>
    <w:p>
      <w:pPr>
        <w:pStyle w:val="Bibliography"/>
        <w:rPr/>
      </w:pPr>
      <w:bookmarkStart w:id="39" w:name="X71fca68020aad3c79232160399444b9923ab76e"/>
      <w:r>
        <w:rPr/>
        <w:t xml:space="preserve">14. </w:t>
        <w:tab/>
        <w:t xml:space="preserve">Rodríguez-Carrillo A, Mustieles V, Pérez-Lobato R, et al. Bisphenol A and cognitive function in school-age boys: Is BPA predominantly related to behavior? </w:t>
      </w:r>
      <w:r>
        <w:rPr>
          <w:i/>
          <w:iCs/>
        </w:rPr>
        <w:t>NeuroToxicology</w:t>
      </w:r>
      <w:r>
        <w:rPr/>
        <w:t xml:space="preserve"> [electronic article]. 2019;74:162–171. (</w:t>
      </w:r>
      <w:hyperlink r:id="rId15">
        <w:r>
          <w:rPr>
            <w:rStyle w:val="InternetLink"/>
          </w:rPr>
          <w:t>https://www.sciencedirect.com/science/article/pii/S0161813X19300543</w:t>
        </w:r>
      </w:hyperlink>
      <w:r>
        <w:rPr/>
        <w:t>). (Accessed December 29, 2023)</w:t>
      </w:r>
      <w:bookmarkEnd w:id="39"/>
    </w:p>
    <w:p>
      <w:pPr>
        <w:pStyle w:val="Bibliography"/>
        <w:rPr/>
      </w:pPr>
      <w:bookmarkStart w:id="40" w:name="ref-ShoaffCoullWeuve%3A2020"/>
      <w:r>
        <w:rPr/>
        <w:t xml:space="preserve">15. </w:t>
        <w:tab/>
        <w:t xml:space="preserve">Shoaff JR, Coull B, Weuve J, et al. Association of Exposure to Endocrine-Disrupting Chemicals During Adolescence With Attention-Deficit/Hyperactivity Disorder–Related Behaviors. </w:t>
      </w:r>
      <w:r>
        <w:rPr>
          <w:i/>
          <w:iCs/>
        </w:rPr>
        <w:t>JAMA Network Open</w:t>
      </w:r>
      <w:r>
        <w:rPr/>
        <w:t xml:space="preserve"> [electronic article]. 2020;3(8):e2015041. (</w:t>
      </w:r>
      <w:hyperlink r:id="rId16">
        <w:r>
          <w:rPr>
            <w:rStyle w:val="InternetLink"/>
          </w:rPr>
          <w:t>https://doi.org/10.1001/jamanetworkopen.2020.15041</w:t>
        </w:r>
      </w:hyperlink>
      <w:r>
        <w:rPr/>
        <w:t>). (Accessed December 29, 2023)</w:t>
      </w:r>
      <w:bookmarkEnd w:id="40"/>
    </w:p>
    <w:p>
      <w:pPr>
        <w:pStyle w:val="Bibliography"/>
        <w:rPr/>
      </w:pPr>
      <w:bookmarkStart w:id="41" w:name="ref-OhKimKannan%3A2023"/>
      <w:r>
        <w:rPr/>
        <w:t xml:space="preserve">16. </w:t>
        <w:tab/>
        <w:t xml:space="preserve">Oh J, Kim K, Kannan K, et al. </w:t>
      </w:r>
      <w:hyperlink r:id="rId17">
        <w:r>
          <w:rPr>
            <w:rStyle w:val="InternetLink"/>
          </w:rPr>
          <w:t>Early childhood exposure to environmental phenols and parabens, phthalates, organophosphate pesticides, and trace elements in association with attention deficit hyperactivity disorder (ADHD) symptoms in the CHARGE study</w:t>
        </w:r>
      </w:hyperlink>
      <w:r>
        <w:rPr/>
        <w:t xml:space="preserve">. </w:t>
      </w:r>
      <w:r>
        <w:rPr>
          <w:i/>
          <w:iCs/>
        </w:rPr>
        <w:t>Res Sq</w:t>
      </w:r>
      <w:r>
        <w:rPr/>
        <w:t xml:space="preserve">. 2023;rs.3.rs–2565914. </w:t>
      </w:r>
      <w:bookmarkEnd w:id="41"/>
    </w:p>
    <w:p>
      <w:pPr>
        <w:pStyle w:val="Bibliography"/>
        <w:rPr/>
      </w:pPr>
      <w:bookmarkStart w:id="42" w:name="ref-VilmandBeckBilenberg%3A2023"/>
      <w:r>
        <w:rPr/>
        <w:t xml:space="preserve">17. </w:t>
        <w:tab/>
        <w:t xml:space="preserve">Vilmand M, Beck IH, Bilenberg N, et al. Prenatal and current phthalate exposure and cognitive development in 7-year-old children from the Odense child cohort. </w:t>
      </w:r>
      <w:r>
        <w:rPr>
          <w:i/>
          <w:iCs/>
        </w:rPr>
        <w:t>Neurotoxicology and Teratology</w:t>
      </w:r>
      <w:r>
        <w:rPr/>
        <w:t xml:space="preserve"> [electronic article]. 2023;96:107161. (</w:t>
      </w:r>
      <w:hyperlink r:id="rId18">
        <w:r>
          <w:rPr>
            <w:rStyle w:val="InternetLink"/>
          </w:rPr>
          <w:t>https://www.sciencedirect.com/science/article/pii/S0892036223000119</w:t>
        </w:r>
      </w:hyperlink>
      <w:r>
        <w:rPr/>
        <w:t>). (Accessed November 16, 2023)</w:t>
      </w:r>
      <w:bookmarkEnd w:id="42"/>
    </w:p>
    <w:p>
      <w:pPr>
        <w:pStyle w:val="Bibliography"/>
        <w:rPr/>
      </w:pPr>
      <w:bookmarkStart w:id="43" w:name="ref-KimLeeMoon%3A2018"/>
      <w:r>
        <w:rPr/>
        <w:t xml:space="preserve">18. </w:t>
        <w:tab/>
        <w:t xml:space="preserve">Kim JH, Lee J, Moon H-B, et al. Association of phthalate exposures with urinary free cortisol and 8-hydroxy-2’-deoxyguanosine in early childhood. </w:t>
      </w:r>
      <w:r>
        <w:rPr>
          <w:i/>
          <w:iCs/>
        </w:rPr>
        <w:t>Science of The Total Environment</w:t>
      </w:r>
      <w:r>
        <w:rPr/>
        <w:t xml:space="preserve"> [electronic article]. 2018;627:506–513. (</w:t>
      </w:r>
      <w:hyperlink r:id="rId19">
        <w:r>
          <w:rPr>
            <w:rStyle w:val="InternetLink"/>
          </w:rPr>
          <w:t>https://www.sciencedirect.com/science/article/pii/S0048969718301475</w:t>
        </w:r>
      </w:hyperlink>
      <w:r>
        <w:rPr/>
        <w:t>). (Accessed December 26, 2023)</w:t>
      </w:r>
      <w:bookmarkEnd w:id="43"/>
    </w:p>
    <w:p>
      <w:pPr>
        <w:pStyle w:val="Bibliography"/>
        <w:rPr/>
      </w:pPr>
      <w:bookmarkStart w:id="44" w:name="ref-SunLiJin%3A2018"/>
      <w:r>
        <w:rPr/>
        <w:t xml:space="preserve">19. </w:t>
        <w:tab/>
        <w:t xml:space="preserve">Sun X, Li J, Jin S, et al. Associations between repeated measures of maternal urinary phthalate metabolites during pregnancy and cord blood glucocorticoids. </w:t>
      </w:r>
      <w:r>
        <w:rPr>
          <w:i/>
          <w:iCs/>
        </w:rPr>
        <w:t>Environment International</w:t>
      </w:r>
      <w:r>
        <w:rPr/>
        <w:t xml:space="preserve"> [electronic article]. 2018;121:471–479. (</w:t>
      </w:r>
      <w:hyperlink r:id="rId20">
        <w:r>
          <w:rPr>
            <w:rStyle w:val="InternetLink"/>
          </w:rPr>
          <w:t>https://www.sciencedirect.com/science/article/pii/S0160412018315113</w:t>
        </w:r>
      </w:hyperlink>
      <w:r>
        <w:rPr/>
        <w:t>). (Accessed November 9, 2023)</w:t>
      </w:r>
      <w:bookmarkEnd w:id="44"/>
    </w:p>
    <w:p>
      <w:pPr>
        <w:pStyle w:val="Bibliography"/>
        <w:rPr/>
      </w:pPr>
      <w:bookmarkStart w:id="45" w:name="ref-SearsLiuLanphear%3A2023"/>
      <w:r>
        <w:rPr/>
        <w:t xml:space="preserve">20. </w:t>
        <w:tab/>
        <w:t xml:space="preserve">Sears CG, Liu Y, Lanphear BP, et al. Evaluating mixtures of urinary phthalate metabolites and serum per-/polyfluoroalkyl substances in relation to adolescent hair cortisol: The HOME Study. </w:t>
      </w:r>
      <w:r>
        <w:rPr>
          <w:i/>
          <w:iCs/>
        </w:rPr>
        <w:t>American Journal of Epidemiology</w:t>
      </w:r>
      <w:r>
        <w:rPr/>
        <w:t xml:space="preserve"> [electronic article]. 2023;kwad198. (</w:t>
      </w:r>
      <w:hyperlink r:id="rId21">
        <w:r>
          <w:rPr>
            <w:rStyle w:val="InternetLink"/>
          </w:rPr>
          <w:t>https://doi.org/10.1093/aje/kwad198</w:t>
        </w:r>
      </w:hyperlink>
      <w:r>
        <w:rPr/>
        <w:t>). (Accessed November 16, 2023)</w:t>
      </w:r>
      <w:bookmarkEnd w:id="45"/>
    </w:p>
    <w:p>
      <w:pPr>
        <w:pStyle w:val="Bibliography"/>
        <w:rPr/>
      </w:pPr>
      <w:bookmarkStart w:id="46" w:name="ref-LupienMcEwenGunnar%3A2009"/>
      <w:r>
        <w:rPr/>
        <w:t xml:space="preserve">21. </w:t>
        <w:tab/>
        <w:t xml:space="preserve">Lupien SJ, McEwen BS, Gunnar MR, et al. Effects of stress throughout the lifespan on the brain, behaviour and cognition. </w:t>
      </w:r>
      <w:r>
        <w:rPr>
          <w:i/>
          <w:iCs/>
        </w:rPr>
        <w:t>Nat Rev Neurosci</w:t>
      </w:r>
      <w:r>
        <w:rPr/>
        <w:t xml:space="preserve"> [electronic article]. 2009;10(6, 6):434–445. (</w:t>
      </w:r>
      <w:hyperlink r:id="rId22">
        <w:r>
          <w:rPr>
            <w:rStyle w:val="InternetLink"/>
          </w:rPr>
          <w:t>https://www.nature.com/articles/nrn2639</w:t>
        </w:r>
      </w:hyperlink>
      <w:r>
        <w:rPr/>
        <w:t>). (Accessed December 31, 2023)</w:t>
      </w:r>
      <w:bookmarkEnd w:id="46"/>
    </w:p>
    <w:p>
      <w:pPr>
        <w:pStyle w:val="Bibliography"/>
        <w:rPr/>
      </w:pPr>
      <w:bookmarkStart w:id="47" w:name="ref-VrijheidSlamaRobinson%3A2014"/>
      <w:r>
        <w:rPr/>
        <w:t xml:space="preserve">22. </w:t>
        <w:tab/>
        <w:t xml:space="preserve">Vrijheid M, Slama R, Robinson O, et al. </w:t>
      </w:r>
      <w:hyperlink r:id="rId23">
        <w:r>
          <w:rPr>
            <w:rStyle w:val="InternetLink"/>
          </w:rPr>
          <w:t>The human early-life exposome (HELIX): Project rationale and design</w:t>
        </w:r>
      </w:hyperlink>
      <w:r>
        <w:rPr/>
        <w:t xml:space="preserve">. </w:t>
      </w:r>
      <w:r>
        <w:rPr>
          <w:i/>
          <w:iCs/>
        </w:rPr>
        <w:t>Environ Health Perspect</w:t>
      </w:r>
      <w:r>
        <w:rPr/>
        <w:t xml:space="preserve">. 2014;122(6):535–544. </w:t>
      </w:r>
      <w:bookmarkEnd w:id="47"/>
    </w:p>
    <w:p>
      <w:pPr>
        <w:pStyle w:val="Bibliography"/>
        <w:rPr/>
      </w:pPr>
      <w:bookmarkStart w:id="48" w:name="ref-WrightSmallRaynor%3A2013"/>
      <w:r>
        <w:rPr/>
        <w:t xml:space="preserve">23. </w:t>
        <w:tab/>
        <w:t xml:space="preserve">Wright J, Small N, Raynor P, et al. Cohort Profile: The Born in Bradford multi-ethnic family cohort study. </w:t>
      </w:r>
      <w:r>
        <w:rPr>
          <w:i/>
          <w:iCs/>
        </w:rPr>
        <w:t>International Journal of Epidemiology</w:t>
      </w:r>
      <w:r>
        <w:rPr/>
        <w:t xml:space="preserve"> [electronic article]. 2013;42(4):978–991. (</w:t>
      </w:r>
      <w:hyperlink r:id="rId24">
        <w:r>
          <w:rPr>
            <w:rStyle w:val="InternetLink"/>
          </w:rPr>
          <w:t>https://doi.org/10.1093/ije/dys112</w:t>
        </w:r>
      </w:hyperlink>
      <w:r>
        <w:rPr/>
        <w:t>). (Accessed December 19, 2023)</w:t>
      </w:r>
      <w:bookmarkEnd w:id="48"/>
    </w:p>
    <w:p>
      <w:pPr>
        <w:pStyle w:val="Bibliography"/>
        <w:rPr/>
      </w:pPr>
      <w:bookmarkStart w:id="49" w:name="ref-HeudeForhanSlama%3A2016"/>
      <w:r>
        <w:rPr/>
        <w:t xml:space="preserve">24. </w:t>
        <w:tab/>
        <w:t xml:space="preserve">Heude B, Forhan A, Slama R, et al. Cohort Profile: The EDEN mother-child cohort on the prenatal and early postnatal determinants of child health and development. </w:t>
      </w:r>
      <w:r>
        <w:rPr>
          <w:i/>
          <w:iCs/>
        </w:rPr>
        <w:t>International Journal of Epidemiology</w:t>
      </w:r>
      <w:r>
        <w:rPr/>
        <w:t xml:space="preserve"> [electronic article]. 2016;45(2):353–363. (</w:t>
      </w:r>
      <w:hyperlink r:id="rId25">
        <w:r>
          <w:rPr>
            <w:rStyle w:val="InternetLink"/>
          </w:rPr>
          <w:t>https://doi.org/10.1093/ije/dyv151</w:t>
        </w:r>
      </w:hyperlink>
      <w:r>
        <w:rPr/>
        <w:t>). (Accessed November 13, 2023)</w:t>
      </w:r>
      <w:bookmarkEnd w:id="49"/>
    </w:p>
    <w:p>
      <w:pPr>
        <w:pStyle w:val="Bibliography"/>
        <w:rPr/>
      </w:pPr>
      <w:bookmarkStart w:id="50" w:name="ref-GuxensBallesterEspada%3A2012"/>
      <w:r>
        <w:rPr/>
        <w:t xml:space="preserve">25. </w:t>
        <w:tab/>
        <w:t xml:space="preserve">Guxens M, Ballester F, Espada M, et al. Cohort Profile: The INMA—INfancia y Medio Ambiente—(Environment and Childhood) Project. </w:t>
      </w:r>
      <w:r>
        <w:rPr>
          <w:i/>
          <w:iCs/>
        </w:rPr>
        <w:t>International Journal of Epidemiology</w:t>
      </w:r>
      <w:r>
        <w:rPr/>
        <w:t xml:space="preserve"> [electronic article]. 2012;41(4):930–940. (</w:t>
      </w:r>
      <w:hyperlink r:id="rId26">
        <w:r>
          <w:rPr>
            <w:rStyle w:val="InternetLink"/>
          </w:rPr>
          <w:t>https://doi.org/10.1093/ije/dyr054</w:t>
        </w:r>
      </w:hyperlink>
      <w:r>
        <w:rPr/>
        <w:t>). (Accessed November 13, 2023)</w:t>
      </w:r>
      <w:bookmarkEnd w:id="50"/>
    </w:p>
    <w:p>
      <w:pPr>
        <w:pStyle w:val="Bibliography"/>
        <w:rPr/>
      </w:pPr>
      <w:bookmarkStart w:id="51" w:name="Xd30c40380c9e99bac70b7fa3b0ada5ae8dec3e4"/>
      <w:r>
        <w:rPr/>
        <w:t xml:space="preserve">26. </w:t>
        <w:tab/>
        <w:t xml:space="preserve">Grazuleviciene R, Danileviciute A, Nadisauskiene R, et al. Maternal Smoking,GSTM1 and GSTT1 Polymorphism and Susceptibility to Adverse Pregnancy Outcomes. </w:t>
      </w:r>
      <w:r>
        <w:rPr>
          <w:i/>
          <w:iCs/>
        </w:rPr>
        <w:t>International Journal of Environmental Research and Public Health</w:t>
      </w:r>
      <w:r>
        <w:rPr/>
        <w:t xml:space="preserve"> [electronic article]. 2009;6(3, 3):1282–1297. (</w:t>
      </w:r>
      <w:hyperlink r:id="rId27">
        <w:r>
          <w:rPr>
            <w:rStyle w:val="InternetLink"/>
          </w:rPr>
          <w:t>https://www.mdpi.com/1660-4601/6/3/1282</w:t>
        </w:r>
      </w:hyperlink>
      <w:r>
        <w:rPr/>
        <w:t>). (Accessed November 13, 2023)</w:t>
      </w:r>
      <w:bookmarkEnd w:id="51"/>
    </w:p>
    <w:p>
      <w:pPr>
        <w:pStyle w:val="Bibliography"/>
        <w:rPr/>
      </w:pPr>
      <w:bookmarkStart w:id="52" w:name="ref-MagnusIrgensHaug%3A2006"/>
      <w:r>
        <w:rPr/>
        <w:t xml:space="preserve">27. </w:t>
        <w:tab/>
        <w:t xml:space="preserve">Magnus P, Irgens LM, Haug K, et al. Cohort profile: The Norwegian Mother and Child Cohort Study (MoBa). </w:t>
      </w:r>
      <w:r>
        <w:rPr>
          <w:i/>
          <w:iCs/>
        </w:rPr>
        <w:t>International Journal of Epidemiology</w:t>
      </w:r>
      <w:r>
        <w:rPr/>
        <w:t xml:space="preserve"> [electronic article]. 2006;35(5):1146–1150. (</w:t>
      </w:r>
      <w:hyperlink r:id="rId28">
        <w:r>
          <w:rPr>
            <w:rStyle w:val="InternetLink"/>
          </w:rPr>
          <w:t>https://doi.org/10.1093/ije/dyl170</w:t>
        </w:r>
      </w:hyperlink>
      <w:r>
        <w:rPr/>
        <w:t>). (Accessed November 13, 2023)</w:t>
      </w:r>
      <w:bookmarkEnd w:id="52"/>
    </w:p>
    <w:p>
      <w:pPr>
        <w:pStyle w:val="Bibliography"/>
        <w:rPr/>
      </w:pPr>
      <w:bookmarkStart w:id="53" w:name="ref-ChatziPlanaDaraki%3A2009"/>
      <w:r>
        <w:rPr/>
        <w:t xml:space="preserve">28. </w:t>
        <w:tab/>
        <w:t xml:space="preserve">Chatzi L, Plana E, Daraki V, et al. Metabolic Syndrome in Early Pregnancy and Risk of Preterm Birth. </w:t>
      </w:r>
      <w:r>
        <w:rPr>
          <w:i/>
          <w:iCs/>
        </w:rPr>
        <w:t>American Journal of Epidemiology</w:t>
      </w:r>
      <w:r>
        <w:rPr/>
        <w:t xml:space="preserve"> [electronic article]. 2009;170(7):829–836. (</w:t>
      </w:r>
      <w:hyperlink r:id="rId29">
        <w:r>
          <w:rPr>
            <w:rStyle w:val="InternetLink"/>
          </w:rPr>
          <w:t>https://doi.org/10.1093/aje/kwp211</w:t>
        </w:r>
      </w:hyperlink>
      <w:r>
        <w:rPr/>
        <w:t>). (Accessed November 13, 2023)</w:t>
      </w:r>
      <w:bookmarkEnd w:id="53"/>
    </w:p>
    <w:p>
      <w:pPr>
        <w:pStyle w:val="Bibliography"/>
        <w:rPr/>
      </w:pPr>
      <w:bookmarkStart w:id="54" w:name="ref-MaitreBontCasas%3A2018"/>
      <w:r>
        <w:rPr/>
        <w:t xml:space="preserve">29. </w:t>
        <w:tab/>
        <w:t xml:space="preserve">Maitre L, Bont J de, Casas M, et al. Human Early Life Exposome (HELIX) study: A European population-based exposome cohort. </w:t>
      </w:r>
      <w:r>
        <w:rPr>
          <w:i/>
          <w:iCs/>
        </w:rPr>
        <w:t>BMJ Open</w:t>
      </w:r>
      <w:r>
        <w:rPr/>
        <w:t xml:space="preserve"> [electronic article]. 2018;8(9):e021311. (</w:t>
      </w:r>
      <w:hyperlink r:id="rId30">
        <w:r>
          <w:rPr>
            <w:rStyle w:val="InternetLink"/>
          </w:rPr>
          <w:t>https://bmjopen.bmj.com/content/8/9/e021311</w:t>
        </w:r>
      </w:hyperlink>
      <w:r>
        <w:rPr/>
        <w:t>). (Accessed November 13, 2023)</w:t>
      </w:r>
      <w:bookmarkEnd w:id="54"/>
    </w:p>
    <w:p>
      <w:pPr>
        <w:pStyle w:val="Bibliography"/>
        <w:rPr/>
      </w:pPr>
      <w:bookmarkStart w:id="55" w:name="ref-HaugSakhiCequier%3A2018"/>
      <w:r>
        <w:rPr/>
        <w:t xml:space="preserve">30. </w:t>
        <w:tab/>
        <w:t xml:space="preserve">Haug LS, Sakhi AK, Cequier E, et al. In-utero and childhood chemical exposome in six European mother-child cohorts. </w:t>
      </w:r>
      <w:r>
        <w:rPr>
          <w:i/>
          <w:iCs/>
        </w:rPr>
        <w:t>Environment International</w:t>
      </w:r>
      <w:r>
        <w:rPr/>
        <w:t xml:space="preserve"> [electronic article]. 2018;121:751–763. (</w:t>
      </w:r>
      <w:hyperlink r:id="rId31">
        <w:r>
          <w:rPr>
            <w:rStyle w:val="InternetLink"/>
          </w:rPr>
          <w:t>https://www.sciencedirect.com/science/article/pii/S016041201831225X</w:t>
        </w:r>
      </w:hyperlink>
      <w:r>
        <w:rPr/>
        <w:t>). (Accessed January 17, 2022)</w:t>
      </w:r>
      <w:bookmarkEnd w:id="55"/>
    </w:p>
    <w:p>
      <w:pPr>
        <w:pStyle w:val="Bibliography"/>
        <w:rPr/>
      </w:pPr>
      <w:bookmarkStart w:id="56" w:name="ref-MarcosRenauCasals%3A2014"/>
      <w:r>
        <w:rPr/>
        <w:t xml:space="preserve">31. </w:t>
        <w:tab/>
        <w:t xml:space="preserve">Marcos J, Renau N, Casals G, et al. Investigation of endogenous corticosteroids profiles in human urine based on liquid chromatography tandem mass spectrometry. </w:t>
      </w:r>
      <w:r>
        <w:rPr>
          <w:i/>
          <w:iCs/>
        </w:rPr>
        <w:t>Analytica Chimica Acta</w:t>
      </w:r>
      <w:r>
        <w:rPr/>
        <w:t xml:space="preserve"> [electronic article]. 2014;812:92–104. (</w:t>
      </w:r>
      <w:hyperlink r:id="rId32">
        <w:r>
          <w:rPr>
            <w:rStyle w:val="InternetLink"/>
          </w:rPr>
          <w:t>https://www.sciencedirect.com/science/article/pii/S0003267013015791</w:t>
        </w:r>
      </w:hyperlink>
      <w:r>
        <w:rPr/>
        <w:t>). (Accessed November 13, 2023)</w:t>
      </w:r>
      <w:bookmarkEnd w:id="56"/>
    </w:p>
    <w:p>
      <w:pPr>
        <w:pStyle w:val="Bibliography"/>
        <w:rPr/>
      </w:pPr>
      <w:bookmarkStart w:id="57" w:name="ref-Gomez-GomezPozo%3A2020"/>
      <w:r>
        <w:rPr/>
        <w:t xml:space="preserve">32. </w:t>
        <w:tab/>
        <w:t xml:space="preserve">Gomez-Gomez A, Pozo OJ. Determination of steroid profile in hair by liquid chromatography tandem mass spectrometry. </w:t>
      </w:r>
      <w:r>
        <w:rPr>
          <w:i/>
          <w:iCs/>
        </w:rPr>
        <w:t>Journal of Chromatography A</w:t>
      </w:r>
      <w:r>
        <w:rPr/>
        <w:t xml:space="preserve"> [electronic article]. 2020;1624:461179. (</w:t>
      </w:r>
      <w:hyperlink r:id="rId33">
        <w:r>
          <w:rPr>
            <w:rStyle w:val="InternetLink"/>
          </w:rPr>
          <w:t>https://www.sciencedirect.com/science/article/pii/S0021967320304313</w:t>
        </w:r>
      </w:hyperlink>
      <w:r>
        <w:rPr/>
        <w:t>). (Accessed November 13, 2023)</w:t>
      </w:r>
      <w:bookmarkEnd w:id="57"/>
    </w:p>
    <w:p>
      <w:pPr>
        <w:pStyle w:val="Bibliography"/>
        <w:rPr/>
      </w:pPr>
      <w:bookmarkStart w:id="58" w:name="ref-RuedaFanMcCandliss%3A2004"/>
      <w:r>
        <w:rPr/>
        <w:t xml:space="preserve">33. </w:t>
        <w:tab/>
        <w:t xml:space="preserve">Rueda MR, Fan J, McCandliss BD, et al. Development of attentional networks in childhood. </w:t>
      </w:r>
      <w:r>
        <w:rPr>
          <w:i/>
          <w:iCs/>
        </w:rPr>
        <w:t>Neuropsychologia</w:t>
      </w:r>
      <w:r>
        <w:rPr/>
        <w:t xml:space="preserve"> [electronic article]. 2004;42(8):1029–1040. (</w:t>
      </w:r>
      <w:hyperlink r:id="rId34">
        <w:r>
          <w:rPr>
            <w:rStyle w:val="InternetLink"/>
          </w:rPr>
          <w:t>https://www.sciencedirect.com/science/article/pii/S0028393204000041</w:t>
        </w:r>
      </w:hyperlink>
      <w:r>
        <w:rPr/>
        <w:t>). (Accessed April 12, 2023)</w:t>
      </w:r>
      <w:bookmarkEnd w:id="58"/>
    </w:p>
    <w:p>
      <w:pPr>
        <w:pStyle w:val="Bibliography"/>
        <w:rPr/>
      </w:pPr>
      <w:bookmarkStart w:id="59" w:name="ref-SunyerEsnaolaAlvarez-Pedrerol%3A2015"/>
      <w:r>
        <w:rPr/>
        <w:t xml:space="preserve">34. </w:t>
        <w:tab/>
        <w:t xml:space="preserve">Sunyer J, Esnaola M, Alvarez-Pedrerol M, et al. Association between Traffic-Related Air Pollution in Schools and Cognitive Development in Primary School Children: A Prospective Cohort Study. </w:t>
      </w:r>
      <w:r>
        <w:rPr>
          <w:i/>
          <w:iCs/>
        </w:rPr>
        <w:t>PLOS Medicine</w:t>
      </w:r>
      <w:r>
        <w:rPr/>
        <w:t xml:space="preserve"> [electronic article]. 2015;12(3):e1001792. (</w:t>
      </w:r>
      <w:hyperlink r:id="rId35">
        <w:r>
          <w:rPr>
            <w:rStyle w:val="InternetLink"/>
          </w:rPr>
          <w:t>https://journals.plos.org/plosmedicine/article?id=10.1371/journal.pmed.1001792</w:t>
        </w:r>
      </w:hyperlink>
      <w:r>
        <w:rPr/>
        <w:t>). (Accessed November 21, 2023)</w:t>
      </w:r>
      <w:bookmarkEnd w:id="59"/>
    </w:p>
    <w:p>
      <w:pPr>
        <w:pStyle w:val="Bibliography"/>
        <w:rPr/>
      </w:pPr>
      <w:bookmarkStart w:id="60" w:name="ref-TextorvanderZanderGilthorpe%3A2016"/>
      <w:r>
        <w:rPr/>
        <w:t xml:space="preserve">35. </w:t>
        <w:tab/>
        <w:t xml:space="preserve">Textor J, van der Zander B, Gilthorpe MS, et al. Robust causal inference using directed acyclic graphs: The R package “dagitty.” </w:t>
      </w:r>
      <w:r>
        <w:rPr>
          <w:i/>
          <w:iCs/>
        </w:rPr>
        <w:t>International Journal of Epidemiology</w:t>
      </w:r>
      <w:r>
        <w:rPr/>
        <w:t xml:space="preserve"> [electronic article]. 2016;45(6):1887–1894. (</w:t>
      </w:r>
      <w:hyperlink r:id="rId36">
        <w:r>
          <w:rPr>
            <w:rStyle w:val="InternetLink"/>
          </w:rPr>
          <w:t>https://doi.org/10.1093/ije/dyw341</w:t>
        </w:r>
      </w:hyperlink>
      <w:r>
        <w:rPr/>
        <w:t>). (Accessed September 22, 2023)</w:t>
      </w:r>
      <w:bookmarkEnd w:id="60"/>
    </w:p>
    <w:p>
      <w:pPr>
        <w:pStyle w:val="Bibliography"/>
        <w:rPr/>
      </w:pPr>
      <w:bookmarkStart w:id="61" w:name="ref-Barrett%3A2023"/>
      <w:r>
        <w:rPr/>
        <w:t xml:space="preserve">36. </w:t>
        <w:tab/>
        <w:t>Barrett M. Ggdag: Analyze and Create Elegant Directed Acyclic Graphs. 2023;(</w:t>
      </w:r>
      <w:hyperlink r:id="rId37">
        <w:r>
          <w:rPr>
            <w:rStyle w:val="InternetLink"/>
          </w:rPr>
          <w:t>https://github.com/r-causal/ggdag</w:t>
        </w:r>
      </w:hyperlink>
      <w:r>
        <w:rPr/>
        <w:t>)</w:t>
      </w:r>
      <w:bookmarkEnd w:id="61"/>
    </w:p>
    <w:p>
      <w:pPr>
        <w:pStyle w:val="Bibliography"/>
        <w:rPr/>
      </w:pPr>
      <w:bookmarkStart w:id="62" w:name="ref-KowarikTempl%3A2016"/>
      <w:r>
        <w:rPr/>
        <w:t xml:space="preserve">37. </w:t>
        <w:tab/>
        <w:t xml:space="preserve">Kowarik A, Templ M. Imputation with the R Package VIM. </w:t>
      </w:r>
      <w:r>
        <w:rPr>
          <w:i/>
          <w:iCs/>
        </w:rPr>
        <w:t>Journal of Statistical Software</w:t>
      </w:r>
      <w:r>
        <w:rPr/>
        <w:t xml:space="preserve"> [electronic article]. 2016;74:1–16. (</w:t>
      </w:r>
      <w:hyperlink r:id="rId38">
        <w:r>
          <w:rPr>
            <w:rStyle w:val="InternetLink"/>
          </w:rPr>
          <w:t>https://doi.org/10.18637/jss.v074.i07</w:t>
        </w:r>
      </w:hyperlink>
      <w:r>
        <w:rPr/>
        <w:t>). (Accessed January 17, 2022)</w:t>
      </w:r>
      <w:bookmarkEnd w:id="62"/>
    </w:p>
    <w:p>
      <w:pPr>
        <w:pStyle w:val="Bibliography"/>
        <w:rPr/>
      </w:pPr>
      <w:bookmarkStart w:id="63" w:name="ref-LudeckeBen-ShacharPatil%3A2021"/>
      <w:r>
        <w:rPr/>
        <w:t xml:space="preserve">38. </w:t>
        <w:tab/>
        <w:t xml:space="preserve">Lüdecke D, Ben-Shachar MS, Patil I, et al. </w:t>
      </w:r>
      <w:hyperlink r:id="rId39">
        <w:r>
          <w:rPr>
            <w:rStyle w:val="InternetLink"/>
          </w:rPr>
          <w:t>performance: An R package for assessment, comparison and testing of statistical models</w:t>
        </w:r>
      </w:hyperlink>
      <w:r>
        <w:rPr/>
        <w:t xml:space="preserve">. </w:t>
      </w:r>
      <w:r>
        <w:rPr>
          <w:i/>
          <w:iCs/>
        </w:rPr>
        <w:t>Journal of Open Source Software</w:t>
      </w:r>
      <w:r>
        <w:rPr/>
        <w:t xml:space="preserve">. 2021;6(60):3139. </w:t>
      </w:r>
      <w:bookmarkEnd w:id="63"/>
    </w:p>
    <w:p>
      <w:pPr>
        <w:pStyle w:val="Bibliography"/>
        <w:rPr/>
      </w:pPr>
      <w:bookmarkStart w:id="64" w:name="ref-lazar2015imputelcmd"/>
      <w:r>
        <w:rPr/>
        <w:t xml:space="preserve">39. </w:t>
        <w:tab/>
        <w:t xml:space="preserve">Lazar C. imputeLCMD: A collection of methods for left-censored missing data imputation. </w:t>
      </w:r>
      <w:r>
        <w:rPr>
          <w:i/>
          <w:iCs/>
        </w:rPr>
        <w:t>R package, version</w:t>
      </w:r>
      <w:r>
        <w:rPr/>
        <w:t xml:space="preserve">. 2015;2. </w:t>
      </w:r>
      <w:bookmarkEnd w:id="64"/>
    </w:p>
    <w:p>
      <w:pPr>
        <w:pStyle w:val="Bibliography"/>
        <w:rPr/>
      </w:pPr>
      <w:bookmarkStart w:id="65" w:name="ref-Greifer%3A2023"/>
      <w:r>
        <w:rPr/>
        <w:t xml:space="preserve">40. </w:t>
        <w:tab/>
        <w:t>Greifer N. Cobalt: Covariate balance tables and plots. 2023.</w:t>
      </w:r>
      <w:bookmarkEnd w:id="65"/>
    </w:p>
    <w:p>
      <w:pPr>
        <w:pStyle w:val="Bibliography"/>
        <w:rPr/>
      </w:pPr>
      <w:bookmarkStart w:id="66" w:name="ref-HulingGreiferChen%3A2023"/>
      <w:r>
        <w:rPr/>
        <w:t xml:space="preserve">41. </w:t>
        <w:tab/>
        <w:t xml:space="preserve">Huling JD, Greifer N, Chen G. Independence Weights for Causal Inference with Continuous Treatments. </w:t>
      </w:r>
      <w:r>
        <w:rPr>
          <w:i/>
          <w:iCs/>
        </w:rPr>
        <w:t>Journal of the American Statistical Association</w:t>
      </w:r>
      <w:r>
        <w:rPr/>
        <w:t xml:space="preserve"> [electronic article]. 2023;0(0):1–14. (</w:t>
      </w:r>
      <w:hyperlink r:id="rId40">
        <w:r>
          <w:rPr>
            <w:rStyle w:val="InternetLink"/>
          </w:rPr>
          <w:t>https://doi.org/10.1080/01621459.2023.2213485</w:t>
        </w:r>
      </w:hyperlink>
      <w:r>
        <w:rPr/>
        <w:t>). (Accessed September 15, 2023)</w:t>
      </w:r>
      <w:bookmarkEnd w:id="66"/>
    </w:p>
    <w:p>
      <w:pPr>
        <w:pStyle w:val="Bibliography"/>
        <w:rPr/>
      </w:pPr>
      <w:bookmarkStart w:id="67" w:name="ref-Greifer%3A2023a"/>
      <w:r>
        <w:rPr/>
        <w:t xml:space="preserve">42. </w:t>
        <w:tab/>
        <w:t>Greifer N. WeightIt: Weighting for covariate balance in observational studies. 2023.</w:t>
      </w:r>
      <w:bookmarkEnd w:id="67"/>
    </w:p>
    <w:p>
      <w:pPr>
        <w:pStyle w:val="Bibliography"/>
        <w:rPr/>
      </w:pPr>
      <w:bookmarkStart w:id="68" w:name="ref-Arel-Bundock%3A2023"/>
      <w:r>
        <w:rPr/>
        <w:t xml:space="preserve">43. </w:t>
        <w:tab/>
        <w:t>Arel-Bundock V. Marginaleffects: Predictions, comparisons, slopes, marginal means, and hypothesis tests. 2023.(</w:t>
      </w:r>
      <w:hyperlink r:id="rId41">
        <w:r>
          <w:rPr>
            <w:rStyle w:val="InternetLink"/>
          </w:rPr>
          <w:t>https://marginaleffects.com/</w:t>
        </w:r>
      </w:hyperlink>
      <w:r>
        <w:rPr/>
        <w:t>)</w:t>
      </w:r>
      <w:bookmarkEnd w:id="68"/>
    </w:p>
    <w:p>
      <w:pPr>
        <w:pStyle w:val="Bibliography"/>
        <w:rPr/>
      </w:pPr>
      <w:bookmarkStart w:id="69" w:name="ref-Zeileis%3A2004"/>
      <w:r>
        <w:rPr/>
        <w:t xml:space="preserve">44. </w:t>
        <w:tab/>
        <w:t xml:space="preserve">Zeileis A. </w:t>
      </w:r>
      <w:hyperlink r:id="rId42">
        <w:r>
          <w:rPr>
            <w:rStyle w:val="InternetLink"/>
          </w:rPr>
          <w:t>Econometric computing with HC and HAC covariance matrix estimators</w:t>
        </w:r>
      </w:hyperlink>
      <w:r>
        <w:rPr/>
        <w:t xml:space="preserve">. </w:t>
      </w:r>
      <w:r>
        <w:rPr>
          <w:i/>
          <w:iCs/>
        </w:rPr>
        <w:t>Journal of Statistical Software</w:t>
      </w:r>
      <w:r>
        <w:rPr/>
        <w:t xml:space="preserve">. 2004;11(10):1–17. </w:t>
      </w:r>
      <w:bookmarkEnd w:id="69"/>
    </w:p>
    <w:p>
      <w:pPr>
        <w:pStyle w:val="Bibliography"/>
        <w:rPr/>
      </w:pPr>
      <w:bookmarkStart w:id="70" w:name="ref-ZeileisKollGraham%3A2020"/>
      <w:r>
        <w:rPr/>
        <w:t xml:space="preserve">45. </w:t>
        <w:tab/>
        <w:t xml:space="preserve">Zeileis A, Köll S, Graham N. </w:t>
      </w:r>
      <w:hyperlink r:id="rId43">
        <w:r>
          <w:rPr>
            <w:rStyle w:val="InternetLink"/>
          </w:rPr>
          <w:t>Various versatile variances: An object-oriented implementation of clustered covariances in R</w:t>
        </w:r>
      </w:hyperlink>
      <w:r>
        <w:rPr/>
        <w:t xml:space="preserve">. </w:t>
      </w:r>
      <w:r>
        <w:rPr>
          <w:i/>
          <w:iCs/>
        </w:rPr>
        <w:t>Journal of Statistical Software</w:t>
      </w:r>
      <w:r>
        <w:rPr/>
        <w:t xml:space="preserve">. 2020;95(1):1–36. </w:t>
      </w:r>
      <w:bookmarkEnd w:id="70"/>
    </w:p>
    <w:p>
      <w:pPr>
        <w:pStyle w:val="Bibliography"/>
        <w:rPr/>
      </w:pPr>
      <w:bookmarkStart w:id="71" w:name="ref-LiPapandonatosCalafat%3A2019"/>
      <w:r>
        <w:rPr/>
        <w:t xml:space="preserve">46. </w:t>
        <w:tab/>
        <w:t xml:space="preserve">Li N, Papandonatos GD, Calafat AM, et al. Identifying periods of susceptibility to the impact of phthalates on children’s cognitive abilities. </w:t>
      </w:r>
      <w:r>
        <w:rPr>
          <w:i/>
          <w:iCs/>
        </w:rPr>
        <w:t>Environmental Research</w:t>
      </w:r>
      <w:r>
        <w:rPr/>
        <w:t xml:space="preserve"> [electronic article]. 2019;172:604–614. (</w:t>
      </w:r>
      <w:hyperlink r:id="rId44">
        <w:r>
          <w:rPr>
            <w:rStyle w:val="InternetLink"/>
          </w:rPr>
          <w:t>https://www.sciencedirect.com/science/article/pii/S0013935119301379</w:t>
        </w:r>
      </w:hyperlink>
      <w:r>
        <w:rPr/>
        <w:t>). (Accessed March 13, 2024)</w:t>
      </w:r>
      <w:bookmarkEnd w:id="71"/>
    </w:p>
    <w:p>
      <w:pPr>
        <w:pStyle w:val="Bibliography"/>
        <w:rPr/>
      </w:pPr>
      <w:bookmarkStart w:id="72" w:name="ref-BalalianWhyattLiu%3A2019"/>
      <w:r>
        <w:rPr/>
        <w:t xml:space="preserve">47. </w:t>
        <w:tab/>
        <w:t xml:space="preserve">Balalian AA, Whyatt RM, Liu X, et al. Prenatal and childhood exposure to phthalates and motor skills at age 11 years. </w:t>
      </w:r>
      <w:r>
        <w:rPr>
          <w:i/>
          <w:iCs/>
        </w:rPr>
        <w:t>Environmental Research</w:t>
      </w:r>
      <w:r>
        <w:rPr/>
        <w:t xml:space="preserve"> [electronic article]. 2019;171:416–427. (</w:t>
      </w:r>
      <w:hyperlink r:id="rId45">
        <w:r>
          <w:rPr>
            <w:rStyle w:val="InternetLink"/>
          </w:rPr>
          <w:t>https://www.sciencedirect.com/science/article/pii/S0013935119300507</w:t>
        </w:r>
      </w:hyperlink>
      <w:r>
        <w:rPr/>
        <w:t>). (Accessed March 13, 2024)</w:t>
      </w:r>
      <w:bookmarkEnd w:id="72"/>
    </w:p>
    <w:p>
      <w:pPr>
        <w:pStyle w:val="Bibliography"/>
        <w:rPr/>
      </w:pPr>
      <w:bookmarkStart w:id="73" w:name="ref-JankowskaPolanskaHanke%3A2019"/>
      <w:r>
        <w:rPr/>
        <w:t xml:space="preserve">48. </w:t>
        <w:tab/>
        <w:t xml:space="preserve">Jankowska A, Polańska K, Hanke W, et al. Prenatal and early postnatal phthalate exposure and child neurodevelopment at age of 7 years – Polish Mother and Child Cohort. </w:t>
      </w:r>
      <w:r>
        <w:rPr>
          <w:i/>
          <w:iCs/>
        </w:rPr>
        <w:t>Environmental Research</w:t>
      </w:r>
      <w:r>
        <w:rPr/>
        <w:t xml:space="preserve"> [electronic article]. 2019;177:108626. (</w:t>
      </w:r>
      <w:hyperlink r:id="rId46">
        <w:r>
          <w:rPr>
            <w:rStyle w:val="InternetLink"/>
          </w:rPr>
          <w:t>https://www.sciencedirect.com/science/article/pii/S0013935119304232</w:t>
        </w:r>
      </w:hyperlink>
      <w:r>
        <w:rPr/>
        <w:t>). (Accessed March 13, 2024)</w:t>
      </w:r>
      <w:bookmarkEnd w:id="73"/>
    </w:p>
    <w:p>
      <w:pPr>
        <w:pStyle w:val="Bibliography"/>
        <w:rPr/>
      </w:pPr>
      <w:bookmarkStart w:id="74" w:name="ref-ZhaoChuHuang%3A2010"/>
      <w:r>
        <w:rPr/>
        <w:t xml:space="preserve">49. </w:t>
        <w:tab/>
        <w:t xml:space="preserve">Zhao B, Chu Y, Huang Y, et al. Structure-dependent inhibition of human and rat 11β-hydroxysteroid dehydrogenase 2 activities by phthalates. </w:t>
      </w:r>
      <w:r>
        <w:rPr>
          <w:i/>
          <w:iCs/>
        </w:rPr>
        <w:t>Chemico-Biological Interactions</w:t>
      </w:r>
      <w:r>
        <w:rPr/>
        <w:t xml:space="preserve"> [electronic article]. 2010;183(1):79–84. (</w:t>
      </w:r>
      <w:hyperlink r:id="rId47">
        <w:r>
          <w:rPr>
            <w:rStyle w:val="InternetLink"/>
          </w:rPr>
          <w:t>https://www.sciencedirect.com/science/article/pii/S0009279709003950</w:t>
        </w:r>
      </w:hyperlink>
      <w:r>
        <w:rPr/>
        <w:t>). (Accessed February 13, 2024)</w:t>
      </w:r>
      <w:bookmarkEnd w:id="74"/>
    </w:p>
    <w:p>
      <w:pPr>
        <w:pStyle w:val="Bibliography"/>
        <w:rPr/>
      </w:pPr>
      <w:bookmarkStart w:id="75" w:name="ref-MaLianDong%3A2011"/>
      <w:r>
        <w:rPr/>
        <w:t xml:space="preserve">50. </w:t>
        <w:tab/>
        <w:t xml:space="preserve">Ma X, Lian Q-Q, Dong Q, et al. Environmental inhibitors of 11β-hydroxysteroid dehydrogenase type 2. </w:t>
      </w:r>
      <w:r>
        <w:rPr>
          <w:i/>
          <w:iCs/>
        </w:rPr>
        <w:t>Toxicology</w:t>
      </w:r>
      <w:r>
        <w:rPr/>
        <w:t xml:space="preserve"> [electronic article]. 2011;285(3):83–89. (</w:t>
      </w:r>
      <w:hyperlink r:id="rId48">
        <w:r>
          <w:rPr>
            <w:rStyle w:val="InternetLink"/>
          </w:rPr>
          <w:t>https://www.sciencedirect.com/science/article/pii/S0300483X11001466</w:t>
        </w:r>
      </w:hyperlink>
      <w:r>
        <w:rPr/>
        <w:t>). (Accessed February 13, 2024)</w:t>
      </w:r>
      <w:bookmarkEnd w:id="75"/>
    </w:p>
    <w:p>
      <w:pPr>
        <w:pStyle w:val="Bibliography"/>
        <w:rPr/>
      </w:pPr>
      <w:bookmarkStart w:id="76" w:name="ref-PrasanthDivyaSadasivan%3A2010"/>
      <w:r>
        <w:rPr/>
        <w:t xml:space="preserve">51. </w:t>
        <w:tab/>
        <w:t xml:space="preserve">Prasanth GK, Divya LM, Sadasivan C. Bisphenol-A can bind to human glucocorticoid receptor as an agonist: An in silico study. </w:t>
      </w:r>
      <w:r>
        <w:rPr>
          <w:i/>
          <w:iCs/>
        </w:rPr>
        <w:t>Journal of Applied Toxicology</w:t>
      </w:r>
      <w:r>
        <w:rPr/>
        <w:t xml:space="preserve"> [electronic article]. 2010;30(8):769–774. (</w:t>
      </w:r>
      <w:hyperlink r:id="rId49">
        <w:r>
          <w:rPr>
            <w:rStyle w:val="InternetLink"/>
          </w:rPr>
          <w:t>https://onlinelibrary.wiley.com/doi/abs/10.1002/jat.1570</w:t>
        </w:r>
      </w:hyperlink>
      <w:r>
        <w:rPr/>
        <w:t>). (Accessed February 13, 2024)</w:t>
      </w:r>
      <w:bookmarkEnd w:id="76"/>
    </w:p>
    <w:p>
      <w:pPr>
        <w:pStyle w:val="Bibliography"/>
        <w:rPr/>
      </w:pPr>
      <w:bookmarkStart w:id="77" w:name="ref-YangLiRen%3A2019"/>
      <w:r>
        <w:rPr/>
        <w:t xml:space="preserve">52. </w:t>
        <w:tab/>
        <w:t xml:space="preserve">Yang F-W, Li Y-X, Ren F-Z, et al. Assessment of the endocrine-disrupting effects of organophosphorus pesticide triazophos and its metabolites on endocrine hormones biosynthesis, transport and receptor binding </w:t>
      </w:r>
      <w:r>
        <w:rPr>
          <w:i/>
          <w:iCs/>
        </w:rPr>
        <w:t>in Silico</w:t>
      </w:r>
      <w:r>
        <w:rPr/>
        <w:t xml:space="preserve">. </w:t>
      </w:r>
      <w:r>
        <w:rPr>
          <w:i/>
          <w:iCs/>
        </w:rPr>
        <w:t>Food and Chemical Toxicology</w:t>
      </w:r>
      <w:r>
        <w:rPr/>
        <w:t xml:space="preserve"> [electronic article]. 2019;133:110759. (</w:t>
      </w:r>
      <w:hyperlink r:id="rId50">
        <w:r>
          <w:rPr>
            <w:rStyle w:val="InternetLink"/>
          </w:rPr>
          <w:t>https://www.sciencedirect.com/science/article/pii/S0278691519305496</w:t>
        </w:r>
      </w:hyperlink>
      <w:r>
        <w:rPr/>
        <w:t>). (Accessed February 13, 2024)</w:t>
      </w:r>
      <w:bookmarkEnd w:id="77"/>
    </w:p>
    <w:p>
      <w:pPr>
        <w:pStyle w:val="Bibliography"/>
        <w:rPr/>
      </w:pPr>
      <w:bookmarkStart w:id="78" w:name="ref-PerrierGiorgis-AllemandSlama%3A2016"/>
      <w:r>
        <w:rPr/>
        <w:t xml:space="preserve">53. </w:t>
        <w:tab/>
        <w:t xml:space="preserve">Perrier F, Giorgis-Allemand L, Slama R, et al. Within-subject Pooling of Biological Samples to Reduce Exposure Misclassification in Biomarker-based Studies. </w:t>
      </w:r>
      <w:r>
        <w:rPr>
          <w:i/>
          <w:iCs/>
        </w:rPr>
        <w:t>Epidemiology</w:t>
      </w:r>
      <w:r>
        <w:rPr/>
        <w:t xml:space="preserve"> [electronic article]. 2016;27(3):378. (</w:t>
      </w:r>
      <w:hyperlink r:id="rId51">
        <w:r>
          <w:rPr>
            <w:rStyle w:val="InternetLink"/>
          </w:rPr>
          <w:t>https://journals.lww.com/epidem/fulltext/2016/05000/within_subject_pooling_of_biological_samples_to.12.aspx</w:t>
        </w:r>
      </w:hyperlink>
      <w:r>
        <w:rPr/>
        <w:t>). (Accessed March 8, 2024)</w:t>
      </w:r>
      <w:bookmarkEnd w:id="78"/>
    </w:p>
    <w:p>
      <w:pPr>
        <w:pStyle w:val="Bibliography"/>
        <w:rPr/>
      </w:pPr>
      <w:bookmarkStart w:id="79" w:name="ref-CasasBasaganaSakhi%3A2018"/>
      <w:r>
        <w:rPr/>
        <w:t xml:space="preserve">54. </w:t>
        <w:tab/>
        <w:t xml:space="preserve">Casas M, Basagaña X, Sakhi AK, et al. Variability of urinary concentrations of non-persistent chemicals in pregnant women and school-aged children. </w:t>
      </w:r>
      <w:r>
        <w:rPr>
          <w:i/>
          <w:iCs/>
        </w:rPr>
        <w:t>Environ. Int.</w:t>
      </w:r>
      <w:r>
        <w:rPr/>
        <w:t xml:space="preserve"> [electronic article]. 2018;121(Pt 1, Pt 1):561–573. (</w:t>
      </w:r>
      <w:hyperlink r:id="rId52">
        <w:r>
          <w:rPr>
            <w:rStyle w:val="InternetLink"/>
          </w:rPr>
          <w:t>http://dx.doi.org/10.1016/j.envint.2018.09.046</w:t>
        </w:r>
      </w:hyperlink>
      <w:r>
        <w:rPr/>
        <w:t>)</w:t>
      </w:r>
      <w:bookmarkEnd w:id="79"/>
    </w:p>
    <w:p>
      <w:pPr>
        <w:pStyle w:val="Bibliography"/>
        <w:rPr/>
      </w:pPr>
      <w:bookmarkStart w:id="80" w:name="ref-RafiGreenland%3A2020"/>
      <w:r>
        <w:rPr/>
        <w:t xml:space="preserve">55. </w:t>
        <w:tab/>
        <w:t xml:space="preserve">Rafi Z, Greenland S. Semantic and cognitive tools to aid statistical science: Replace confidence and significance by compatibility and surprise. </w:t>
      </w:r>
      <w:r>
        <w:rPr>
          <w:i/>
          <w:iCs/>
        </w:rPr>
        <w:t>BMC Medical Research Methodology</w:t>
      </w:r>
      <w:r>
        <w:rPr/>
        <w:t xml:space="preserve"> [electronic article]. 2020;20(1):244. (</w:t>
      </w:r>
      <w:hyperlink r:id="rId53">
        <w:r>
          <w:rPr>
            <w:rStyle w:val="InternetLink"/>
          </w:rPr>
          <w:t>https://doi.org/10.1186/s12874-020-01105-9</w:t>
        </w:r>
      </w:hyperlink>
      <w:r>
        <w:rPr/>
        <w:t>). (Accessed March 8, 2024)</w:t>
      </w:r>
      <w:bookmarkEnd w:id="25"/>
      <w:bookmarkEnd w:id="80"/>
    </w:p>
    <w:p>
      <w:pPr>
        <w:pStyle w:val="Normal"/>
        <w:rPr/>
      </w:pPr>
      <w:r>
        <w:rPr/>
      </w:r>
      <w:bookmarkStart w:id="81" w:name="references"/>
      <w:bookmarkStart w:id="82" w:name="references"/>
      <w:bookmarkEnd w:id="82"/>
      <w:r>
        <w:br w:type="page"/>
      </w:r>
    </w:p>
    <w:p>
      <w:pPr>
        <w:pStyle w:val="Heading1"/>
        <w:rPr/>
      </w:pPr>
      <w:bookmarkStart w:id="83" w:name="tables-for-descriptive-data"/>
      <w:r>
        <w:rPr/>
        <w:t>Tables for descriptive data</w:t>
      </w:r>
    </w:p>
    <w:p>
      <w:pPr>
        <w:pStyle w:val="Heading2"/>
        <w:rPr/>
      </w:pPr>
      <w:bookmarkStart w:id="84" w:name="study-populations"/>
      <w:r>
        <w:rPr/>
        <w:t>Study populations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5" w:name="tbl-pop-desc"/>
            <w:r>
              <w:rPr/>
              <w:t xml:space="preserve">Table 1: </w:t>
            </w:r>
            <w:r>
              <w:rPr>
                <w:b/>
                <w:bCs/>
              </w:rPr>
              <w:t>Participant characteristics (HELIX subcohort; 2013-2016).</w:t>
            </w:r>
            <w:bookmarkEnd w:id="84"/>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468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MOBA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272.0 (21.0%)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INMA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(17.0%)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BIB</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204.0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KANC</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203.0 (15.7%)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RHEA</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EDEN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(15.3%)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n (%); Median (IQR)</w:t>
            </w:r>
            <w:bookmarkEnd w:id="85"/>
          </w:p>
        </w:tc>
      </w:tr>
    </w:tbl>
    <w:p>
      <w:pPr>
        <w:pStyle w:val="Heading2"/>
        <w:rPr/>
      </w:pPr>
      <w:r>
        <w:rPr/>
        <w:t>Endocrine disruptors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6" w:name="tbl-edc-desc"/>
            <w:r>
              <w:rPr/>
              <w:t xml:space="preserve">Table 2: </w:t>
            </w:r>
            <w:r>
              <w:rPr>
                <w:b/>
                <w:bCs/>
              </w:rPr>
              <w:t xml:space="preserve">Participants endocrine disruptors concentrations expressed in </w:t>
            </w:r>
            <w:r>
              <w:rPr/>
            </w:r>
            <m:oMath xmlns:m="http://schemas.openxmlformats.org/officeDocument/2006/math">
              <m:r>
                <w:rPr>
                  <w:rFonts w:ascii="Cambria Math" w:hAnsi="Cambria Math"/>
                </w:rPr>
                <m:t xml:space="preserve">μ</m:t>
              </m:r>
            </m:oMath>
            <w:r>
              <w:rPr>
                <w:b/>
                <w:bCs/>
              </w:rPr>
              <w:t>grams/L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b</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(0.4,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1.7)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4.6)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(1.2, 6.3)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(2.3, 7.0)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(0.4)</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(0.4, 1.2)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(3.1, 24.1)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 6.6)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(0.0, 1.6)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(1.3)</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1.5)</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(2.7, 8.7)</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32.8 (19.9, 57.6)</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 (11.4, 33.1)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(0.2)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 (1.6, 5.1)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 (3.2)</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(7.1, 20.4)</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 (15.0, 79.2)</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40.2 (24.5, 71.1)</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22.7 (14.5, 38.8)</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(3.1, 9.3)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 (1.7, 5.0)</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N missing (% missing)</w:t>
            </w:r>
            <w:bookmarkEnd w:id="86"/>
          </w:p>
        </w:tc>
      </w:tr>
    </w:tbl>
    <w:p>
      <w:pPr>
        <w:pStyle w:val="Heading2"/>
        <w:rPr/>
      </w:pPr>
      <w:r>
        <w:rPr/>
        <w:t>Glucocorticosteroids</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7" w:name="tbl-met-new-desc"/>
            <w:r>
              <w:rPr/>
              <w:t xml:space="preserve">Table 3: </w:t>
            </w:r>
            <w:r>
              <w:rPr>
                <w:b/>
                <w:bCs/>
              </w:rPr>
              <w:t>Participants derived glucocorticosteroids concentrations expressed in ng/ml (HELIX subcohort; 2013-2016).</w:t>
            </w:r>
            <w:bookmarkEnd w:id="83"/>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120"/>
        <w:gridCol w:w="3120"/>
        <w:gridCol w:w="3120"/>
      </w:tblGrid>
      <w:tr>
        <w:trPr>
          <w:tblHeader w:val="true"/>
          <w:cantSplit w:val="true"/>
        </w:trPr>
        <w:tc>
          <w:tcPr>
            <w:tcW w:w="3120"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p>
        </w:tc>
        <w:tc>
          <w:tcPr>
            <w:tcW w:w="312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N = 1,004</w:t>
            </w:r>
            <w:r>
              <w:rPr>
                <w:rFonts w:ascii="Calibri" w:hAnsi="Calibri"/>
                <w:i/>
                <w:sz w:val="20"/>
                <w:vertAlign w:val="superscript"/>
              </w:rPr>
              <w:t>a</w:t>
            </w:r>
          </w:p>
        </w:tc>
        <w:tc>
          <w:tcPr>
            <w:tcW w:w="312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a,b</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4,607.9 (2,860.5, 6,787.6); 18.0 (1.8)</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4,559.5 (2,834.5, 6,731.7); 17.0 (1.7)</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4,608.1 (2,920.8, 6,843.9); 19.0 (1.9)</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4,580.7 (2,899.3, 6,800.5); 18.0 (1.8)</w:t>
            </w:r>
          </w:p>
        </w:tc>
      </w:tr>
      <w:tr>
        <w:trPr>
          <w:cantSplit w:val="true"/>
        </w:trPr>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257.8 (157.9, 410.5); 3.0 (0.3)</w:t>
            </w:r>
          </w:p>
        </w:tc>
        <w:tc>
          <w:tcPr>
            <w:tcW w:w="312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(157.5, 409.7); 3.0 (0.3)</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 N missing (% missing)</w:t>
            </w:r>
          </w:p>
        </w:tc>
      </w:tr>
      <w:tr>
        <w:trPr>
          <w:cantSplit w:val="true"/>
        </w:trPr>
        <w:tc>
          <w:tcPr>
            <w:tcW w:w="9360" w:type="dxa"/>
            <w:gridSpan w:val="3"/>
            <w:tcBorders/>
          </w:tcPr>
          <w:p>
            <w:pPr>
              <w:pStyle w:val="Normal"/>
              <w:keepNext w:val="true"/>
              <w:widowControl w:val="false"/>
              <w:spacing w:before="0" w:after="60"/>
              <w:rPr/>
            </w:pPr>
            <w:r>
              <w:rPr>
                <w:rFonts w:ascii="Calibri" w:hAnsi="Calibri"/>
                <w:i/>
                <w:sz w:val="20"/>
                <w:vertAlign w:val="superscript"/>
              </w:rPr>
              <w:t>b</w:t>
            </w:r>
            <w:r>
              <w:rPr>
                <w:rFonts w:ascii="Calibri" w:hAnsi="Calibri"/>
                <w:sz w:val="20"/>
              </w:rPr>
              <w:t>Measurements available for the HELIX subcohort.</w:t>
            </w:r>
            <w:bookmarkEnd w:id="87"/>
          </w:p>
        </w:tc>
      </w:tr>
    </w:tbl>
    <w:p>
      <w:pPr>
        <w:pStyle w:val="Heading1"/>
        <w:rPr/>
      </w:pPr>
      <w:r>
        <w:rPr/>
        <w:t>Tables for other analyses</w:t>
      </w:r>
    </w:p>
    <w:p>
      <w:pPr>
        <w:pStyle w:val="Heading2"/>
        <w:rPr/>
      </w:pPr>
      <w:bookmarkStart w:id="88" w:name="Xfe21795c12cc91b54002b32d590cceab5746351"/>
      <w:bookmarkEnd w:id="88"/>
      <w:r>
        <w:rPr/>
        <w:t>Marginal hypotheses for effect modification</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89" w:name="tbl-hypothesis-1and2"/>
            <w:r>
              <w:rPr/>
              <w:t xml:space="preserve">Table 4: </w:t>
            </w:r>
            <w:r>
              <w:rPr>
                <w:b/>
                <w:bCs/>
              </w:rPr>
              <w:t>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corticosterone production</w:t>
            </w:r>
            <w:r>
              <w:rPr>
                <w:rFonts w:ascii="Calibri" w:hAnsi="Calibri"/>
                <w:i/>
                <w:sz w:val="20"/>
                <w:vertAlign w:val="superscript"/>
              </w:rPr>
              <w:t>a</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cortisol production</w:t>
            </w:r>
            <w:r>
              <w:rPr>
                <w:rFonts w:ascii="Calibri" w:hAnsi="Calibri"/>
                <w:i/>
                <w:sz w:val="20"/>
                <w:vertAlign w:val="superscript"/>
              </w:rPr>
              <w:t>a</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cortisone production</w:t>
            </w:r>
            <w:r>
              <w:rPr>
                <w:rFonts w:ascii="Calibri" w:hAnsi="Calibri"/>
                <w:i/>
                <w:sz w:val="20"/>
                <w:vertAlign w:val="superscript"/>
              </w:rPr>
              <w:t>a</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0.019 (-0.022,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-0.082 (-0.276, 0.113)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-0.139 (-0.374, 0.096)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-0.104 (-0.311, 0.103)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(-0.054, 0.104)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(-0.332,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-0.071 (-0.264, 0.123)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(-0.269, 0.076)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-0.034 (-0.093, 0.025)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0.007 (-0.217, 0.231)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-0.031 (-0.119, 0.057)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-0.069 (-0.207, 0.07)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0.005 (-0.095, 0.106)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(-0.326, -0.094)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-0.166 (-0.353, 0.022)</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(-0.026, 0.09)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-0.153 (-0.291, -0.015)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-0.125 (-0.269, 0.018)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-0.085 (-0.216, 0.047)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-0.022 (-0.067, 0.024)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-0.117 (-0.247,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(-0.209, -0.048)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-0.013 (-0.112, 0.085)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0.012 (-0.021, 0.045)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-0.254 (-0.416,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-0.184 (-0.39,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-0.219 (-0.472, 0.034)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-0.001 (-0.061, 0.058)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-0.129 (-0.271, 0.013)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(-0.258, 0.004)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-0.144 (-0.257, -0.03)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0.032 (0.004, 0.061)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-0.213 (-0.486, 0.059)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-0.077 (-0.306,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-0.064 (-0.274, 0.146)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0.015 (-0.045, 0.074)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(-0.262, 0.022)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(-0.238, 0.151)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-0.102 (-0.223, 0.019)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(-0.076, 0.042)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-0.142 (-0.251, -0.034)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(-0.248, -0.012)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-0.152 (-0.207, -0.096)</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-0.066 (-0.126, -0.007)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-0.025 (-0.098, 0.047)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-0.018 (-0.142, 0.107)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-0.079 (-0.174, 0.015)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0.008 (-0.077, 0.092)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-0.014 (-0.165, 0.137)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-0.043 (-0.084, -0.001)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(-0.055, 0.09)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0.028 (-0.075, 0.131)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-0.052 (-0.264, 0.161)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-0.091 (-0.208, 0.026)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-0.006 (-0.087, 0.075)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(-0.082, 0.115)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-0.165 (-0.26, -0.071)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-0.221 (-0.289, -0.153)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-0.177 (-0.299, -0.055)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(-0.068, 0.108)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-0.061 (-0.232, 0.111)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-0.075 (-0.157, 0.006)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0.009 (-0.063, 0.08)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-0.053 (-0.138,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(-0.408, 0.308)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-0.083 (-0.384, 0.218)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-0.119 (-0.339, 0.1)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 (-0.138, 0.098)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0.037 (-0.175, 0.25)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-0.042 (-0.267, 0.184)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-0.021 (-0.163, 0.12)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-0.035 (-0.11, 0.041)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0.029 (-0.186, 0.243)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0.063 (-0.134, 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0.017 (-0.077, 0.111)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0.046 (-0.009, 0.102)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(-0.335, 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-0.181 (-0.33, -0.033)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-0.164 (-0.304, -0.024)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-0.026 (-0.059, 0.008)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(-0.315, 0.076)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-0.146 (-0.303, 0.011)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-0.127 (-0.238, -0.016)</w:t>
            </w:r>
          </w:p>
        </w:tc>
      </w:tr>
      <w:tr>
        <w:trPr>
          <w:cantSplit w:val="true"/>
        </w:trPr>
        <w:tc>
          <w:tcPr>
            <w:tcW w:w="9360"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89"/>
          </w:p>
        </w:tc>
      </w:tr>
    </w:tbl>
    <w:p>
      <w:pPr>
        <w:pStyle w:val="TextBody"/>
        <w:rPr/>
      </w:pPr>
      <w:r>
        <w:rPr/>
        <w:t xml:space="preserve"> </w:t>
      </w:r>
    </w:p>
    <w:tbl>
      <w:tblPr>
        <w:tblW w:w="5000" w:type="pct"/>
        <w:jc w:val="left"/>
        <w:tblInd w:w="0" w:type="dxa"/>
        <w:tblLayout w:type="fixed"/>
        <w:tblCellMar>
          <w:top w:w="0" w:type="dxa"/>
          <w:left w:w="108" w:type="dxa"/>
          <w:bottom w:w="0" w:type="dxa"/>
          <w:right w:w="108" w:type="dxa"/>
        </w:tblCellMar>
      </w:tblPr>
      <w:tblGrid>
        <w:gridCol w:w="9360"/>
      </w:tblGrid>
      <w:tr>
        <w:trPr/>
        <w:tc>
          <w:tcPr>
            <w:tcW w:w="9360" w:type="dxa"/>
            <w:tcBorders/>
          </w:tcPr>
          <w:p>
            <w:pPr>
              <w:pStyle w:val="ImageCaption"/>
              <w:widowControl w:val="false"/>
              <w:spacing w:before="200" w:after="120"/>
              <w:jc w:val="left"/>
              <w:rPr/>
            </w:pPr>
            <w:bookmarkStart w:id="90" w:name="tbl-hypothesis-3"/>
            <w:r>
              <w:rPr/>
              <w:t xml:space="preserve">Table 5: </w:t>
            </w:r>
            <w:r>
              <w:rPr>
                <w:b/>
                <w:bCs/>
              </w:rPr>
              <w:t>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c>
      </w:tr>
    </w:tbl>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blHeader w:val="true"/>
          <w:cantSplit w:val="true"/>
        </w:trPr>
        <w:tc>
          <w:tcPr>
            <w:tcW w:w="4679"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4680"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HRT-SE</w:t>
            </w:r>
            <w:r>
              <w:rPr>
                <w:rFonts w:ascii="Calibri" w:hAnsi="Calibri"/>
                <w:i/>
                <w:sz w:val="20"/>
                <w:vertAlign w:val="superscript"/>
              </w:rPr>
              <w:t>a</w:t>
            </w:r>
          </w:p>
        </w:tc>
      </w:tr>
      <w:tr>
        <w:trPr>
          <w:cantSplit w:val="true"/>
        </w:trPr>
        <w:tc>
          <w:tcPr>
            <w:tcW w:w="9359" w:type="dxa"/>
            <w:gridSpan w:val="2"/>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Glucocorticosteroids</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0.126 (0.009, 0.243)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0.096 (-0.045, 0.238)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(0.019, 0.261)</w:t>
            </w:r>
          </w:p>
        </w:tc>
      </w:tr>
      <w:tr>
        <w:trPr>
          <w:cantSplit w:val="true"/>
        </w:trPr>
        <w:tc>
          <w:tcPr>
            <w:tcW w:w="9359" w:type="dxa"/>
            <w:gridSpan w:val="2"/>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Estimate and 95% CI.</w:t>
            </w:r>
            <w:bookmarkEnd w:id="90"/>
          </w:p>
        </w:tc>
      </w:tr>
    </w:tbl>
    <w:p>
      <w:pPr>
        <w:pStyle w:val="Normal"/>
        <w:rPr/>
      </w:pPr>
      <w:r>
        <w:rPr/>
      </w:r>
      <w:bookmarkStart w:id="91" w:name="Xfe21795c12cc91b54002b32d590cceab5746351"/>
      <w:bookmarkStart w:id="92" w:name="Xfe21795c12cc91b54002b32d590cceab5746351"/>
      <w:bookmarkEnd w:id="92"/>
      <w:r>
        <w:br w:type="page"/>
      </w:r>
    </w:p>
    <w:p>
      <w:pPr>
        <w:pStyle w:val="Heading1"/>
        <w:rPr/>
      </w:pPr>
      <w:bookmarkStart w:id="93" w:name="figures-for-main-results"/>
      <w:bookmarkEnd w:id="93"/>
      <w:r>
        <w:rPr/>
        <w:t>Figures for main results</w:t>
      </w:r>
    </w:p>
    <w:p>
      <w:pPr>
        <w:pStyle w:val="Heading2"/>
        <w:rPr/>
      </w:pPr>
      <w:bookmarkStart w:id="94" w:name="marginal-contrasts"/>
      <w:bookmarkEnd w:id="94"/>
      <w:r>
        <w:rPr/>
        <w:t>Marginal contrasts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95" w:name="fig-marginal-1"/>
            <w:r>
              <w:rPr>
                <w:rFonts w:eastAsia="Cambria" w:cs=""/>
                <w:kern w:val="0"/>
                <w:sz w:val="24"/>
                <w:szCs w:val="24"/>
                <w:lang w:val="en-US" w:eastAsia="en-US" w:bidi="ar-SA"/>
              </w:rPr>
              <w:drawing>
                <wp:inline distT="0" distB="0" distL="0" distR="0">
                  <wp:extent cx="5334000" cy="59264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4"/>
                          <a:stretch>
                            <a:fillRect/>
                          </a:stretch>
                        </pic:blipFill>
                        <pic:spPr bwMode="auto">
                          <a:xfrm>
                            <a:off x="0" y="0"/>
                            <a:ext cx="5334000" cy="5926455"/>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1: </w:t>
            </w:r>
            <w:r>
              <w:rPr>
                <w:rFonts w:eastAsia="Cambria" w:cs=""/>
                <w:b/>
                <w:bCs/>
                <w:kern w:val="0"/>
                <w:sz w:val="24"/>
                <w:szCs w:val="24"/>
                <w:lang w:val="en-US" w:eastAsia="en-US" w:bidi="ar-SA"/>
              </w:rPr>
              <w:t>Marginal contrasts on the logarithmic scale for the effect of a increase from the 10th to the 90th percentile of the endocrine disrupting chemicals (EDCs) on hit reaction time standard error (HRT-SE) expressed in ms (HELIX subcohort; 2013-2016).</w:t>
            </w:r>
            <w:r>
              <w:rPr>
                <w:rFonts w:eastAsia="Cambria" w:cs=""/>
                <w:kern w:val="0"/>
                <w:sz w:val="24"/>
                <w:szCs w:val="24"/>
                <w:lang w:val="en-US" w:eastAsia="en-US" w:bidi="ar-SA"/>
              </w:rPr>
              <w:t xml:space="preserve"> Circles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9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96" w:name="fig-marginal-2"/>
            <w:r>
              <w:rPr>
                <w:rFonts w:eastAsia="Cambria" w:cs=""/>
                <w:kern w:val="0"/>
                <w:sz w:val="24"/>
                <w:szCs w:val="24"/>
                <w:lang w:val="en-US" w:eastAsia="en-US" w:bidi="ar-SA"/>
              </w:rPr>
              <w:drawing>
                <wp:inline distT="0" distB="0" distL="0" distR="0">
                  <wp:extent cx="5334000" cy="7112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5"/>
                          <a:stretch>
                            <a:fillRect/>
                          </a:stretch>
                        </pic:blipFill>
                        <pic:spPr bwMode="auto">
                          <a:xfrm>
                            <a:off x="0" y="0"/>
                            <a:ext cx="5334000" cy="7112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2: </w:t>
            </w:r>
            <w:r>
              <w:rPr>
                <w:rFonts w:eastAsia="Cambria" w:cs=""/>
                <w:b/>
                <w:bCs/>
                <w:kern w:val="0"/>
                <w:sz w:val="24"/>
                <w:szCs w:val="24"/>
                <w:lang w:val="en-US" w:eastAsia="en-US" w:bidi="ar-SA"/>
              </w:rPr>
              <w:t>Marginal contrasts on the logarithmic scale for the effect of a increase from the 10th to the 90th percentile of the endocrine disrupting chemicals (EDCs) on the glucocorticosteroids expressed in ng/ml (HELIX subcohort; 2013-2016).</w:t>
            </w:r>
            <w:r>
              <w:rPr>
                <w:rFonts w:eastAsia="Cambria" w:cs=""/>
                <w:kern w:val="0"/>
                <w:sz w:val="24"/>
                <w:szCs w:val="24"/>
                <w:lang w:val="en-US" w:eastAsia="en-US" w:bidi="ar-SA"/>
              </w:rPr>
              <w:t xml:space="preserve"> Circles, triangles, and squares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96"/>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97" w:name="fig-marginal-3"/>
            <w:r>
              <w:rPr>
                <w:rFonts w:eastAsia="Cambria" w:cs=""/>
                <w:kern w:val="0"/>
                <w:sz w:val="24"/>
                <w:szCs w:val="24"/>
                <w:lang w:val="en-US" w:eastAsia="en-US" w:bidi="ar-SA"/>
              </w:rPr>
              <w:drawing>
                <wp:inline distT="0" distB="0" distL="0" distR="0">
                  <wp:extent cx="5334000" cy="29629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6"/>
                          <a:stretch>
                            <a:fillRect/>
                          </a:stretch>
                        </pic:blipFill>
                        <pic:spPr bwMode="auto">
                          <a:xfrm>
                            <a:off x="0" y="0"/>
                            <a:ext cx="5334000" cy="296291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3: </w:t>
            </w:r>
            <w:r>
              <w:rPr>
                <w:rFonts w:eastAsia="Cambria" w:cs=""/>
                <w:b/>
                <w:bCs/>
                <w:kern w:val="0"/>
                <w:sz w:val="24"/>
                <w:szCs w:val="24"/>
                <w:lang w:val="en-US" w:eastAsia="en-US" w:bidi="ar-SA"/>
              </w:rPr>
              <w:t>Marginal contrasts on the logarithmic scale for the effect of a increase from the 10th to the 90th percentile of the glucocorticosteroids on hit reaction time standard error (HRT-SE) expressed in ms (HELIX subcohort; 2013-2016).</w:t>
            </w:r>
            <w:r>
              <w:rPr>
                <w:rFonts w:eastAsia="Cambria" w:cs=""/>
                <w:kern w:val="0"/>
                <w:sz w:val="24"/>
                <w:szCs w:val="24"/>
                <w:lang w:val="en-US" w:eastAsia="en-US" w:bidi="ar-SA"/>
              </w:rPr>
              <w:t xml:space="preserve"> Circles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 Abbreviations: cortisone production (cortisone prod.); cortisol production (cortisol prod.); corticost. prod. (corticosterone production).</w:t>
            </w:r>
            <w:bookmarkEnd w:id="97"/>
          </w:p>
        </w:tc>
      </w:tr>
    </w:tbl>
    <w:p>
      <w:pPr>
        <w:pStyle w:val="Normal"/>
        <w:rPr/>
      </w:pPr>
      <w:r>
        <w:rPr/>
      </w:r>
      <w:bookmarkStart w:id="98" w:name="figures-for-main-results"/>
      <w:bookmarkStart w:id="99" w:name="marginal-contrasts"/>
      <w:bookmarkStart w:id="100" w:name="figures-for-main-results"/>
      <w:bookmarkStart w:id="101" w:name="marginal-contrasts"/>
      <w:bookmarkEnd w:id="100"/>
      <w:bookmarkEnd w:id="101"/>
      <w:r>
        <w:br w:type="page"/>
      </w:r>
    </w:p>
    <w:p>
      <w:pPr>
        <w:pStyle w:val="Heading1"/>
        <w:rPr/>
      </w:pPr>
      <w:bookmarkStart w:id="102" w:name="supplementary-information"/>
      <w:r>
        <w:rPr/>
        <w:t>Supplementary information</w:t>
      </w:r>
    </w:p>
    <w:p>
      <w:pPr>
        <w:pStyle w:val="Heading2"/>
        <w:rPr/>
      </w:pPr>
      <w:bookmarkStart w:id="103" w:name="directed-acyclic-graphs"/>
      <w:r>
        <w:rPr/>
        <w:t>Directed Acyclic Graphs</w:t>
      </w:r>
    </w:p>
    <w:p>
      <w:pPr>
        <w:pStyle w:val="SourceCode"/>
        <w:rPr/>
      </w:pPr>
      <w:r>
        <w:rPr>
          <w:rStyle w:val="VerbatimChar"/>
        </w:rPr>
        <w:t>dag {</w:t>
      </w:r>
      <w:r>
        <w:rPr/>
        <w:br/>
      </w:r>
      <w:r>
        <w:rPr>
          <w:rStyle w:val="VerbatimChar"/>
        </w:rPr>
        <w:t>age_child</w:t>
      </w:r>
      <w:r>
        <w:rPr/>
        <w:br/>
      </w:r>
      <w:r>
        <w:rPr>
          <w:rStyle w:val="VerbatimChar"/>
        </w:rPr>
        <w:t>biomarker</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[outcome]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 [exposure]</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p>
    <w:p>
      <w:pPr>
        <w:pStyle w:val="SourceCode"/>
        <w:rPr/>
      </w:pPr>
      <w:r>
        <w:rPr>
          <w:rStyle w:val="VerbatimChar"/>
        </w:rPr>
        <w:t>dag {</w:t>
      </w:r>
      <w:r>
        <w:rPr/>
        <w:br/>
      </w:r>
      <w:r>
        <w:rPr>
          <w:rStyle w:val="VerbatimChar"/>
        </w:rPr>
        <w:t>age_child</w:t>
      </w:r>
      <w:r>
        <w:rPr/>
        <w:br/>
      </w:r>
      <w:r>
        <w:rPr>
          <w:rStyle w:val="VerbatimChar"/>
        </w:rPr>
        <w:t>biomarker [exposure]</w:t>
      </w:r>
      <w:r>
        <w:rPr/>
        <w:br/>
      </w:r>
      <w:r>
        <w:rPr>
          <w:rStyle w:val="VerbatimChar"/>
        </w:rPr>
        <w:t>breastfeeding</w:t>
      </w:r>
      <w:r>
        <w:rPr/>
        <w:br/>
      </w:r>
      <w:r>
        <w:rPr>
          <w:rStyle w:val="VerbatimChar"/>
        </w:rPr>
        <w:t>bw</w:t>
      </w:r>
      <w:r>
        <w:rPr/>
        <w:br/>
      </w:r>
      <w:r>
        <w:rPr>
          <w:rStyle w:val="VerbatimChar"/>
        </w:rPr>
        <w:t>characteristics_child</w:t>
      </w:r>
      <w:r>
        <w:rPr/>
        <w:br/>
      </w:r>
      <w:r>
        <w:rPr>
          <w:rStyle w:val="VerbatimChar"/>
        </w:rPr>
        <w:t>chemical</w:t>
      </w:r>
      <w:r>
        <w:rPr/>
        <w:br/>
      </w:r>
      <w:r>
        <w:rPr>
          <w:rStyle w:val="VerbatimChar"/>
        </w:rPr>
        <w:t>child_diet</w:t>
      </w:r>
      <w:r>
        <w:rPr/>
        <w:br/>
      </w:r>
      <w:r>
        <w:rPr>
          <w:rStyle w:val="VerbatimChar"/>
        </w:rPr>
        <w:t>child_smoking</w:t>
      </w:r>
      <w:r>
        <w:rPr/>
        <w:br/>
      </w:r>
      <w:r>
        <w:rPr>
          <w:rStyle w:val="VerbatimChar"/>
        </w:rPr>
        <w:t>cohort</w:t>
      </w:r>
      <w:r>
        <w:rPr/>
        <w:br/>
      </w:r>
      <w:r>
        <w:rPr>
          <w:rStyle w:val="VerbatimChar"/>
        </w:rPr>
        <w:t>creatinine</w:t>
      </w:r>
      <w:r>
        <w:rPr/>
        <w:br/>
      </w:r>
      <w:r>
        <w:rPr>
          <w:rStyle w:val="VerbatimChar"/>
        </w:rPr>
        <w:t>envFactors_visit</w:t>
      </w:r>
      <w:r>
        <w:rPr/>
        <w:br/>
      </w:r>
      <w:r>
        <w:rPr>
          <w:rStyle w:val="VerbatimChar"/>
        </w:rPr>
        <w:t>ethnicity_child</w:t>
      </w:r>
      <w:r>
        <w:rPr/>
        <w:br/>
      </w:r>
      <w:r>
        <w:rPr>
          <w:rStyle w:val="VerbatimChar"/>
        </w:rPr>
        <w:t>ethnicity_mother</w:t>
      </w:r>
      <w:r>
        <w:rPr/>
        <w:br/>
      </w:r>
      <w:r>
        <w:rPr>
          <w:rStyle w:val="VerbatimChar"/>
        </w:rPr>
        <w:t>familySEP</w:t>
      </w:r>
      <w:r>
        <w:rPr/>
        <w:br/>
      </w:r>
      <w:r>
        <w:rPr>
          <w:rStyle w:val="VerbatimChar"/>
        </w:rPr>
        <w:t>gestational_age</w:t>
      </w:r>
      <w:r>
        <w:rPr/>
        <w:br/>
      </w:r>
      <w:r>
        <w:rPr>
          <w:rStyle w:val="VerbatimChar"/>
        </w:rPr>
        <w:t>maternalAlcohol_preg</w:t>
      </w:r>
      <w:r>
        <w:rPr/>
        <w:br/>
      </w:r>
      <w:r>
        <w:rPr>
          <w:rStyle w:val="VerbatimChar"/>
        </w:rPr>
        <w:t>maternalDiet_preg</w:t>
      </w:r>
      <w:r>
        <w:rPr/>
        <w:br/>
      </w:r>
      <w:r>
        <w:rPr>
          <w:rStyle w:val="VerbatimChar"/>
        </w:rPr>
        <w:t>maternalSEP_preg</w:t>
      </w:r>
      <w:r>
        <w:rPr/>
        <w:br/>
      </w:r>
      <w:r>
        <w:rPr>
          <w:rStyle w:val="VerbatimChar"/>
        </w:rPr>
        <w:t>maternalSmoking_preg</w:t>
      </w:r>
      <w:r>
        <w:rPr/>
        <w:br/>
      </w:r>
      <w:r>
        <w:rPr>
          <w:rStyle w:val="VerbatimChar"/>
        </w:rPr>
        <w:t>neuropsychologicalDiagnosis_child</w:t>
      </w:r>
      <w:r>
        <w:rPr/>
        <w:br/>
      </w:r>
      <w:r>
        <w:rPr>
          <w:rStyle w:val="VerbatimChar"/>
        </w:rPr>
        <w:t>outcome [outcome]</w:t>
      </w:r>
      <w:r>
        <w:rPr/>
        <w:br/>
      </w:r>
      <w:r>
        <w:rPr>
          <w:rStyle w:val="VerbatimChar"/>
        </w:rPr>
        <w:t>paternalSEP_preg</w:t>
      </w:r>
      <w:r>
        <w:rPr/>
        <w:br/>
      </w:r>
      <w:r>
        <w:rPr>
          <w:rStyle w:val="VerbatimChar"/>
        </w:rPr>
        <w:t>season_visit</w:t>
      </w:r>
      <w:r>
        <w:rPr/>
        <w:br/>
      </w:r>
      <w:r>
        <w:rPr>
          <w:rStyle w:val="VerbatimChar"/>
        </w:rPr>
        <w:t>sex_child</w:t>
      </w:r>
      <w:r>
        <w:rPr/>
        <w:br/>
      </w:r>
      <w:r>
        <w:rPr>
          <w:rStyle w:val="VerbatimChar"/>
        </w:rPr>
        <w:t>time_lastMeal</w:t>
      </w:r>
      <w:r>
        <w:rPr/>
        <w:br/>
      </w:r>
      <w:r>
        <w:rPr>
          <w:rStyle w:val="VerbatimChar"/>
        </w:rPr>
        <w:t>type_sample</w:t>
      </w:r>
      <w:r>
        <w:rPr/>
        <w:br/>
      </w:r>
      <w:r>
        <w:rPr>
          <w:rStyle w:val="VerbatimChar"/>
        </w:rPr>
        <w:t>age_child -&gt; biomarker</w:t>
      </w:r>
      <w:r>
        <w:rPr/>
        <w:br/>
      </w:r>
      <w:r>
        <w:rPr>
          <w:rStyle w:val="VerbatimChar"/>
        </w:rPr>
        <w:t>age_child -&gt; characteristics_child</w:t>
      </w:r>
      <w:r>
        <w:rPr/>
        <w:br/>
      </w:r>
      <w:r>
        <w:rPr>
          <w:rStyle w:val="VerbatimChar"/>
        </w:rPr>
        <w:t>age_child -&gt; creatinine</w:t>
      </w:r>
      <w:r>
        <w:rPr/>
        <w:br/>
      </w:r>
      <w:r>
        <w:rPr>
          <w:rStyle w:val="VerbatimChar"/>
        </w:rPr>
        <w:t>age_child -&gt; outcome</w:t>
      </w:r>
      <w:r>
        <w:rPr/>
        <w:br/>
      </w:r>
      <w:r>
        <w:rPr>
          <w:rStyle w:val="VerbatimChar"/>
        </w:rPr>
        <w:t>age_child -&gt; type_sample</w:t>
      </w:r>
      <w:r>
        <w:rPr/>
        <w:br/>
      </w:r>
      <w:r>
        <w:rPr>
          <w:rStyle w:val="VerbatimChar"/>
        </w:rPr>
        <w:t>biomarker -&gt; outcome</w:t>
      </w:r>
      <w:r>
        <w:rPr/>
        <w:br/>
      </w:r>
      <w:r>
        <w:rPr>
          <w:rStyle w:val="VerbatimChar"/>
        </w:rPr>
        <w:t>breastfeeding -&gt; neuropsychologicalDiagnosis_child</w:t>
      </w:r>
      <w:r>
        <w:rPr/>
        <w:br/>
      </w:r>
      <w:r>
        <w:rPr>
          <w:rStyle w:val="VerbatimChar"/>
        </w:rPr>
        <w:t>breastfeeding -&gt; outcome</w:t>
      </w:r>
      <w:r>
        <w:rPr/>
        <w:br/>
      </w:r>
      <w:r>
        <w:rPr>
          <w:rStyle w:val="VerbatimChar"/>
        </w:rPr>
        <w:t>bw -&gt; characteristics_child</w:t>
      </w:r>
      <w:r>
        <w:rPr/>
        <w:br/>
      </w:r>
      <w:r>
        <w:rPr>
          <w:rStyle w:val="VerbatimChar"/>
        </w:rPr>
        <w:t>bw -&gt; neuropsychologicalDiagnosis_child</w:t>
      </w:r>
      <w:r>
        <w:rPr/>
        <w:br/>
      </w:r>
      <w:r>
        <w:rPr>
          <w:rStyle w:val="VerbatimChar"/>
        </w:rPr>
        <w:t>characteristics_child -&gt; biomarker</w:t>
      </w:r>
      <w:r>
        <w:rPr/>
        <w:br/>
      </w:r>
      <w:r>
        <w:rPr>
          <w:rStyle w:val="VerbatimChar"/>
        </w:rPr>
        <w:t>characteristics_child -&gt; chemical</w:t>
      </w:r>
      <w:r>
        <w:rPr/>
        <w:br/>
      </w:r>
      <w:r>
        <w:rPr>
          <w:rStyle w:val="VerbatimChar"/>
        </w:rPr>
        <w:t>characteristics_child -&gt; creatinine</w:t>
      </w:r>
      <w:r>
        <w:rPr/>
        <w:br/>
      </w:r>
      <w:r>
        <w:rPr>
          <w:rStyle w:val="VerbatimChar"/>
        </w:rPr>
        <w:t>characteristics_child -&gt; outcome</w:t>
      </w:r>
      <w:r>
        <w:rPr/>
        <w:br/>
      </w:r>
      <w:r>
        <w:rPr>
          <w:rStyle w:val="VerbatimChar"/>
        </w:rPr>
        <w:t>chemical -&gt; biomarker</w:t>
      </w:r>
      <w:r>
        <w:rPr/>
        <w:br/>
      </w:r>
      <w:r>
        <w:rPr>
          <w:rStyle w:val="VerbatimChar"/>
        </w:rPr>
        <w:t>chemical -&gt; outcome</w:t>
      </w:r>
      <w:r>
        <w:rPr/>
        <w:br/>
      </w:r>
      <w:r>
        <w:rPr>
          <w:rStyle w:val="VerbatimChar"/>
        </w:rPr>
        <w:t>child_diet -&gt; biomarker</w:t>
      </w:r>
      <w:r>
        <w:rPr/>
        <w:br/>
      </w:r>
      <w:r>
        <w:rPr>
          <w:rStyle w:val="VerbatimChar"/>
        </w:rPr>
        <w:t>child_diet -&gt; characteristics_child</w:t>
      </w:r>
      <w:r>
        <w:rPr/>
        <w:br/>
      </w:r>
      <w:r>
        <w:rPr>
          <w:rStyle w:val="VerbatimChar"/>
        </w:rPr>
        <w:t>child_diet -&gt; chemical</w:t>
      </w:r>
      <w:r>
        <w:rPr/>
        <w:br/>
      </w:r>
      <w:r>
        <w:rPr>
          <w:rStyle w:val="VerbatimChar"/>
        </w:rPr>
        <w:t>child_diet -&gt; outcome</w:t>
      </w:r>
      <w:r>
        <w:rPr/>
        <w:br/>
      </w:r>
      <w:r>
        <w:rPr>
          <w:rStyle w:val="VerbatimChar"/>
        </w:rPr>
        <w:t>child_smoking -&gt; biomarker</w:t>
      </w:r>
      <w:r>
        <w:rPr/>
        <w:br/>
      </w:r>
      <w:r>
        <w:rPr>
          <w:rStyle w:val="VerbatimChar"/>
        </w:rPr>
        <w:t>child_smoking -&gt; characteristics_child</w:t>
      </w:r>
      <w:r>
        <w:rPr/>
        <w:br/>
      </w:r>
      <w:r>
        <w:rPr>
          <w:rStyle w:val="VerbatimChar"/>
        </w:rPr>
        <w:t>child_smoking -&gt; creatinine</w:t>
      </w:r>
      <w:r>
        <w:rPr/>
        <w:br/>
      </w:r>
      <w:r>
        <w:rPr>
          <w:rStyle w:val="VerbatimChar"/>
        </w:rPr>
        <w:t>child_smoking -&gt; outcome</w:t>
      </w:r>
      <w:r>
        <w:rPr/>
        <w:br/>
      </w:r>
      <w:r>
        <w:rPr>
          <w:rStyle w:val="VerbatimChar"/>
        </w:rPr>
        <w:t>cohort -&gt; biomarker</w:t>
      </w:r>
      <w:r>
        <w:rPr/>
        <w:br/>
      </w:r>
      <w:r>
        <w:rPr>
          <w:rStyle w:val="VerbatimChar"/>
        </w:rPr>
        <w:t>cohort -&gt; bw</w:t>
      </w:r>
      <w:r>
        <w:rPr/>
        <w:br/>
      </w:r>
      <w:r>
        <w:rPr>
          <w:rStyle w:val="VerbatimChar"/>
        </w:rPr>
        <w:t>cohort -&gt; characteristics_child</w:t>
      </w:r>
      <w:r>
        <w:rPr/>
        <w:br/>
      </w:r>
      <w:r>
        <w:rPr>
          <w:rStyle w:val="VerbatimChar"/>
        </w:rPr>
        <w:t>cohort -&gt; chemical</w:t>
      </w:r>
      <w:r>
        <w:rPr/>
        <w:br/>
      </w:r>
      <w:r>
        <w:rPr>
          <w:rStyle w:val="VerbatimChar"/>
        </w:rPr>
        <w:t>cohort -&gt; child_diet</w:t>
      </w:r>
      <w:r>
        <w:rPr/>
        <w:br/>
      </w:r>
      <w:r>
        <w:rPr>
          <w:rStyle w:val="VerbatimChar"/>
        </w:rPr>
        <w:t>cohort -&gt; creatinine</w:t>
      </w:r>
      <w:r>
        <w:rPr/>
        <w:br/>
      </w:r>
      <w:r>
        <w:rPr>
          <w:rStyle w:val="VerbatimChar"/>
        </w:rPr>
        <w:t>cohort -&gt; outcome</w:t>
      </w:r>
      <w:r>
        <w:rPr/>
        <w:br/>
      </w:r>
      <w:r>
        <w:rPr>
          <w:rStyle w:val="VerbatimChar"/>
        </w:rPr>
        <w:t>creatinine -&gt; biomarker</w:t>
      </w:r>
      <w:r>
        <w:rPr/>
        <w:br/>
      </w:r>
      <w:r>
        <w:rPr>
          <w:rStyle w:val="VerbatimChar"/>
        </w:rPr>
        <w:t>creatinine -&gt; chemical</w:t>
      </w:r>
      <w:r>
        <w:rPr/>
        <w:br/>
      </w:r>
      <w:r>
        <w:rPr>
          <w:rStyle w:val="VerbatimChar"/>
        </w:rPr>
        <w:t>creatinine -&gt; outcome</w:t>
      </w:r>
      <w:r>
        <w:rPr/>
        <w:br/>
      </w:r>
      <w:r>
        <w:rPr>
          <w:rStyle w:val="VerbatimChar"/>
        </w:rPr>
        <w:t>envFactors_visit -&gt; outcome</w:t>
      </w:r>
      <w:r>
        <w:rPr/>
        <w:br/>
      </w:r>
      <w:r>
        <w:rPr>
          <w:rStyle w:val="VerbatimChar"/>
        </w:rPr>
        <w:t>ethnicity_child -&gt; biomarker</w:t>
      </w:r>
      <w:r>
        <w:rPr/>
        <w:br/>
      </w:r>
      <w:r>
        <w:rPr>
          <w:rStyle w:val="VerbatimChar"/>
        </w:rPr>
        <w:t>ethnicity_child -&gt; bw</w:t>
      </w:r>
      <w:r>
        <w:rPr/>
        <w:br/>
      </w:r>
      <w:r>
        <w:rPr>
          <w:rStyle w:val="VerbatimChar"/>
        </w:rPr>
        <w:t>ethnicity_child -&gt; characteristics_child</w:t>
      </w:r>
      <w:r>
        <w:rPr/>
        <w:br/>
      </w:r>
      <w:r>
        <w:rPr>
          <w:rStyle w:val="VerbatimChar"/>
        </w:rPr>
        <w:t>ethnicity_child -&gt; chemical</w:t>
      </w:r>
      <w:r>
        <w:rPr/>
        <w:br/>
      </w:r>
      <w:r>
        <w:rPr>
          <w:rStyle w:val="VerbatimChar"/>
        </w:rPr>
        <w:t>ethnicity_child -&gt; child_diet</w:t>
      </w:r>
      <w:r>
        <w:rPr/>
        <w:br/>
      </w:r>
      <w:r>
        <w:rPr>
          <w:rStyle w:val="VerbatimChar"/>
        </w:rPr>
        <w:t>ethnicity_child -&gt; child_smoking</w:t>
      </w:r>
      <w:r>
        <w:rPr/>
        <w:br/>
      </w:r>
      <w:r>
        <w:rPr>
          <w:rStyle w:val="VerbatimChar"/>
        </w:rPr>
        <w:t>ethnicity_child -&gt; creatinine</w:t>
      </w:r>
      <w:r>
        <w:rPr/>
        <w:br/>
      </w:r>
      <w:r>
        <w:rPr>
          <w:rStyle w:val="VerbatimChar"/>
        </w:rPr>
        <w:t>ethnicity_child -&gt; neuropsychologicalDiagnosis_child</w:t>
      </w:r>
      <w:r>
        <w:rPr/>
        <w:br/>
      </w:r>
      <w:r>
        <w:rPr>
          <w:rStyle w:val="VerbatimChar"/>
        </w:rPr>
        <w:t>ethnicity_child -&gt; outcome</w:t>
      </w:r>
      <w:r>
        <w:rPr/>
        <w:br/>
      </w:r>
      <w:r>
        <w:rPr>
          <w:rStyle w:val="VerbatimChar"/>
        </w:rPr>
        <w:t>ethnicity_mother -&gt; biomarker</w:t>
      </w:r>
      <w:r>
        <w:rPr/>
        <w:br/>
      </w:r>
      <w:r>
        <w:rPr>
          <w:rStyle w:val="VerbatimChar"/>
        </w:rPr>
        <w:t>ethnicity_mother -&gt; breastfeeding</w:t>
      </w:r>
      <w:r>
        <w:rPr/>
        <w:br/>
      </w:r>
      <w:r>
        <w:rPr>
          <w:rStyle w:val="VerbatimChar"/>
        </w:rPr>
        <w:t>ethnicity_mother -&gt; bw</w:t>
      </w:r>
      <w:r>
        <w:rPr/>
        <w:br/>
      </w:r>
      <w:r>
        <w:rPr>
          <w:rStyle w:val="VerbatimChar"/>
        </w:rPr>
        <w:t>ethnicity_mother -&gt; characteristics_child</w:t>
      </w:r>
      <w:r>
        <w:rPr/>
        <w:br/>
      </w:r>
      <w:r>
        <w:rPr>
          <w:rStyle w:val="VerbatimChar"/>
        </w:rPr>
        <w:t>ethnicity_mother -&gt; child_diet</w:t>
      </w:r>
      <w:r>
        <w:rPr/>
        <w:br/>
      </w:r>
      <w:r>
        <w:rPr>
          <w:rStyle w:val="VerbatimChar"/>
        </w:rPr>
        <w:t>ethnicity_mother -&gt; familySEP</w:t>
      </w:r>
      <w:r>
        <w:rPr/>
        <w:br/>
      </w:r>
      <w:r>
        <w:rPr>
          <w:rStyle w:val="VerbatimChar"/>
        </w:rPr>
        <w:t>ethnicity_mother -&gt; maternalAlcohol_preg</w:t>
      </w:r>
      <w:r>
        <w:rPr/>
        <w:br/>
      </w:r>
      <w:r>
        <w:rPr>
          <w:rStyle w:val="VerbatimChar"/>
        </w:rPr>
        <w:t>ethnicity_mother -&gt; maternalDiet_preg</w:t>
      </w:r>
      <w:r>
        <w:rPr/>
        <w:br/>
      </w:r>
      <w:r>
        <w:rPr>
          <w:rStyle w:val="VerbatimChar"/>
        </w:rPr>
        <w:t>ethnicity_mother -&gt; maternalSEP_preg</w:t>
      </w:r>
      <w:r>
        <w:rPr/>
        <w:br/>
      </w:r>
      <w:r>
        <w:rPr>
          <w:rStyle w:val="VerbatimChar"/>
        </w:rPr>
        <w:t>ethnicity_mother -&gt; maternalSmoking_preg</w:t>
      </w:r>
      <w:r>
        <w:rPr/>
        <w:br/>
      </w:r>
      <w:r>
        <w:rPr>
          <w:rStyle w:val="VerbatimChar"/>
        </w:rPr>
        <w:t>ethnicity_mother -&gt; neuropsychologicalDiagnosis_child</w:t>
      </w:r>
      <w:r>
        <w:rPr/>
        <w:br/>
      </w:r>
      <w:r>
        <w:rPr>
          <w:rStyle w:val="VerbatimChar"/>
        </w:rPr>
        <w:t>ethnicity_mother -&gt; outcome</w:t>
      </w:r>
      <w:r>
        <w:rPr/>
        <w:br/>
      </w:r>
      <w:r>
        <w:rPr>
          <w:rStyle w:val="VerbatimChar"/>
        </w:rPr>
        <w:t>familySEP -&gt; biomarker</w:t>
      </w:r>
      <w:r>
        <w:rPr/>
        <w:br/>
      </w:r>
      <w:r>
        <w:rPr>
          <w:rStyle w:val="VerbatimChar"/>
        </w:rPr>
        <w:t>familySEP -&gt; characteristics_child</w:t>
      </w:r>
      <w:r>
        <w:rPr/>
        <w:br/>
      </w:r>
      <w:r>
        <w:rPr>
          <w:rStyle w:val="VerbatimChar"/>
        </w:rPr>
        <w:t>familySEP -&gt; chemical</w:t>
      </w:r>
      <w:r>
        <w:rPr/>
        <w:br/>
      </w:r>
      <w:r>
        <w:rPr>
          <w:rStyle w:val="VerbatimChar"/>
        </w:rPr>
        <w:t>familySEP -&gt; child_diet</w:t>
      </w:r>
      <w:r>
        <w:rPr/>
        <w:br/>
      </w:r>
      <w:r>
        <w:rPr>
          <w:rStyle w:val="VerbatimChar"/>
        </w:rPr>
        <w:t>familySEP -&gt; child_smoking</w:t>
      </w:r>
      <w:r>
        <w:rPr/>
        <w:br/>
      </w:r>
      <w:r>
        <w:rPr>
          <w:rStyle w:val="VerbatimChar"/>
        </w:rPr>
        <w:t>familySEP -&gt; creatinine</w:t>
      </w:r>
      <w:r>
        <w:rPr/>
        <w:br/>
      </w:r>
      <w:r>
        <w:rPr>
          <w:rStyle w:val="VerbatimChar"/>
        </w:rPr>
        <w:t>familySEP -&gt; outcome</w:t>
      </w:r>
      <w:r>
        <w:rPr/>
        <w:br/>
      </w:r>
      <w:r>
        <w:rPr>
          <w:rStyle w:val="VerbatimChar"/>
        </w:rPr>
        <w:t>gestational_age -&gt; bw</w:t>
      </w:r>
      <w:r>
        <w:rPr/>
        <w:br/>
      </w:r>
      <w:r>
        <w:rPr>
          <w:rStyle w:val="VerbatimChar"/>
        </w:rPr>
        <w:t>gestational_age -&gt; characteristics_child</w:t>
      </w:r>
      <w:r>
        <w:rPr/>
        <w:br/>
      </w:r>
      <w:r>
        <w:rPr>
          <w:rStyle w:val="VerbatimChar"/>
        </w:rPr>
        <w:t>gestational_age -&gt; neuropsychologicalDiagnosis_child</w:t>
      </w:r>
      <w:r>
        <w:rPr/>
        <w:br/>
      </w:r>
      <w:r>
        <w:rPr>
          <w:rStyle w:val="VerbatimChar"/>
        </w:rPr>
        <w:t>maternalAlcohol_preg -&gt; bw</w:t>
      </w:r>
      <w:r>
        <w:rPr/>
        <w:br/>
      </w:r>
      <w:r>
        <w:rPr>
          <w:rStyle w:val="VerbatimChar"/>
        </w:rPr>
        <w:t>maternalAlcohol_preg -&gt; characteristics_child</w:t>
      </w:r>
      <w:r>
        <w:rPr/>
        <w:br/>
      </w:r>
      <w:r>
        <w:rPr>
          <w:rStyle w:val="VerbatimChar"/>
        </w:rPr>
        <w:t>maternalAlcohol_preg -&gt; neuropsychologicalDiagnosis_child</w:t>
      </w:r>
      <w:r>
        <w:rPr/>
        <w:br/>
      </w:r>
      <w:r>
        <w:rPr>
          <w:rStyle w:val="VerbatimChar"/>
        </w:rPr>
        <w:t>maternalAlcohol_preg -&gt; outcome</w:t>
      </w:r>
      <w:r>
        <w:rPr/>
        <w:br/>
      </w:r>
      <w:r>
        <w:rPr>
          <w:rStyle w:val="VerbatimChar"/>
        </w:rPr>
        <w:t>maternalDiet_preg -&gt; characteristics_child</w:t>
      </w:r>
      <w:r>
        <w:rPr/>
        <w:br/>
      </w:r>
      <w:r>
        <w:rPr>
          <w:rStyle w:val="VerbatimChar"/>
        </w:rPr>
        <w:t>maternalDiet_preg -&gt; neuropsychologicalDiagnosis_child</w:t>
      </w:r>
      <w:r>
        <w:rPr/>
        <w:br/>
      </w:r>
      <w:r>
        <w:rPr>
          <w:rStyle w:val="VerbatimChar"/>
        </w:rPr>
        <w:t>maternalDiet_preg -&gt; outcome</w:t>
      </w:r>
      <w:r>
        <w:rPr/>
        <w:br/>
      </w:r>
      <w:r>
        <w:rPr>
          <w:rStyle w:val="VerbatimChar"/>
        </w:rPr>
        <w:t>maternalSEP_preg -&gt; breastfeeding</w:t>
      </w:r>
      <w:r>
        <w:rPr/>
        <w:br/>
      </w:r>
      <w:r>
        <w:rPr>
          <w:rStyle w:val="VerbatimChar"/>
        </w:rPr>
        <w:t>maternalSEP_preg -&gt; bw</w:t>
      </w:r>
      <w:r>
        <w:rPr/>
        <w:br/>
      </w:r>
      <w:r>
        <w:rPr>
          <w:rStyle w:val="VerbatimChar"/>
        </w:rPr>
        <w:t>maternalSEP_preg -&gt; characteristics_child</w:t>
      </w:r>
      <w:r>
        <w:rPr/>
        <w:br/>
      </w:r>
      <w:r>
        <w:rPr>
          <w:rStyle w:val="VerbatimChar"/>
        </w:rPr>
        <w:t>maternalSEP_preg -&gt; familySEP</w:t>
      </w:r>
      <w:r>
        <w:rPr/>
        <w:br/>
      </w:r>
      <w:r>
        <w:rPr>
          <w:rStyle w:val="VerbatimChar"/>
        </w:rPr>
        <w:t>maternalSEP_preg -&gt; maternalAlcohol_preg</w:t>
      </w:r>
      <w:r>
        <w:rPr/>
        <w:br/>
      </w:r>
      <w:r>
        <w:rPr>
          <w:rStyle w:val="VerbatimChar"/>
        </w:rPr>
        <w:t>maternalSEP_preg -&gt; maternalDiet_preg</w:t>
      </w:r>
      <w:r>
        <w:rPr/>
        <w:br/>
      </w:r>
      <w:r>
        <w:rPr>
          <w:rStyle w:val="VerbatimChar"/>
        </w:rPr>
        <w:t>maternalSEP_preg -&gt; maternalSmoking_preg</w:t>
      </w:r>
      <w:r>
        <w:rPr/>
        <w:br/>
      </w:r>
      <w:r>
        <w:rPr>
          <w:rStyle w:val="VerbatimChar"/>
        </w:rPr>
        <w:t>maternalSEP_preg -&gt; neuropsychologicalDiagnosis_child</w:t>
      </w:r>
      <w:r>
        <w:rPr/>
        <w:br/>
      </w:r>
      <w:r>
        <w:rPr>
          <w:rStyle w:val="VerbatimChar"/>
        </w:rPr>
        <w:t>maternalSEP_preg -&gt; outcome</w:t>
      </w:r>
      <w:r>
        <w:rPr/>
        <w:br/>
      </w:r>
      <w:r>
        <w:rPr>
          <w:rStyle w:val="VerbatimChar"/>
        </w:rPr>
        <w:t>maternalSmoking_preg -&gt; bw</w:t>
      </w:r>
      <w:r>
        <w:rPr/>
        <w:br/>
      </w:r>
      <w:r>
        <w:rPr>
          <w:rStyle w:val="VerbatimChar"/>
        </w:rPr>
        <w:t>maternalSmoking_preg -&gt; characteristics_child</w:t>
      </w:r>
      <w:r>
        <w:rPr/>
        <w:br/>
      </w:r>
      <w:r>
        <w:rPr>
          <w:rStyle w:val="VerbatimChar"/>
        </w:rPr>
        <w:t>maternalSmoking_preg -&gt; neuropsychologicalDiagnosis_child</w:t>
      </w:r>
      <w:r>
        <w:rPr/>
        <w:br/>
      </w:r>
      <w:r>
        <w:rPr>
          <w:rStyle w:val="VerbatimChar"/>
        </w:rPr>
        <w:t>maternalSmoking_preg -&gt; outcome</w:t>
      </w:r>
      <w:r>
        <w:rPr/>
        <w:br/>
      </w:r>
      <w:r>
        <w:rPr>
          <w:rStyle w:val="VerbatimChar"/>
        </w:rPr>
        <w:t>neuropsychologicalDiagnosis_child -&gt; outcome</w:t>
      </w:r>
      <w:r>
        <w:rPr/>
        <w:br/>
      </w:r>
      <w:r>
        <w:rPr>
          <w:rStyle w:val="VerbatimChar"/>
        </w:rPr>
        <w:t>paternalSEP_preg -&gt; breastfeeding</w:t>
      </w:r>
      <w:r>
        <w:rPr/>
        <w:br/>
      </w:r>
      <w:r>
        <w:rPr>
          <w:rStyle w:val="VerbatimChar"/>
        </w:rPr>
        <w:t>paternalSEP_preg -&gt; bw</w:t>
      </w:r>
      <w:r>
        <w:rPr/>
        <w:br/>
      </w:r>
      <w:r>
        <w:rPr>
          <w:rStyle w:val="VerbatimChar"/>
        </w:rPr>
        <w:t>paternalSEP_preg -&gt; characteristics_child</w:t>
      </w:r>
      <w:r>
        <w:rPr/>
        <w:br/>
      </w:r>
      <w:r>
        <w:rPr>
          <w:rStyle w:val="VerbatimChar"/>
        </w:rPr>
        <w:t>paternalSEP_preg -&gt; familySEP</w:t>
      </w:r>
      <w:r>
        <w:rPr/>
        <w:br/>
      </w:r>
      <w:r>
        <w:rPr>
          <w:rStyle w:val="VerbatimChar"/>
        </w:rPr>
        <w:t>paternalSEP_preg -&gt; maternalAlcohol_preg</w:t>
      </w:r>
      <w:r>
        <w:rPr/>
        <w:br/>
      </w:r>
      <w:r>
        <w:rPr>
          <w:rStyle w:val="VerbatimChar"/>
        </w:rPr>
        <w:t>paternalSEP_preg -&gt; maternalDiet_preg</w:t>
      </w:r>
      <w:r>
        <w:rPr/>
        <w:br/>
      </w:r>
      <w:r>
        <w:rPr>
          <w:rStyle w:val="VerbatimChar"/>
        </w:rPr>
        <w:t>paternalSEP_preg -&gt; maternalSmoking_preg</w:t>
      </w:r>
      <w:r>
        <w:rPr/>
        <w:br/>
      </w:r>
      <w:r>
        <w:rPr>
          <w:rStyle w:val="VerbatimChar"/>
        </w:rPr>
        <w:t>paternalSEP_preg -&gt; neuropsychologicalDiagnosis_child</w:t>
      </w:r>
      <w:r>
        <w:rPr/>
        <w:br/>
      </w:r>
      <w:r>
        <w:rPr>
          <w:rStyle w:val="VerbatimChar"/>
        </w:rPr>
        <w:t>paternalSEP_preg -&gt; outcome</w:t>
      </w:r>
      <w:r>
        <w:rPr/>
        <w:br/>
      </w:r>
      <w:r>
        <w:rPr>
          <w:rStyle w:val="VerbatimChar"/>
        </w:rPr>
        <w:t>season_visit -&gt; biomarker</w:t>
      </w:r>
      <w:r>
        <w:rPr/>
        <w:br/>
      </w:r>
      <w:r>
        <w:rPr>
          <w:rStyle w:val="VerbatimChar"/>
        </w:rPr>
        <w:t>season_visit -&gt; chemical</w:t>
      </w:r>
      <w:r>
        <w:rPr/>
        <w:br/>
      </w:r>
      <w:r>
        <w:rPr>
          <w:rStyle w:val="VerbatimChar"/>
        </w:rPr>
        <w:t>sex_child -&gt; biomarker</w:t>
      </w:r>
      <w:r>
        <w:rPr/>
        <w:br/>
      </w:r>
      <w:r>
        <w:rPr>
          <w:rStyle w:val="VerbatimChar"/>
        </w:rPr>
        <w:t>sex_child -&gt; characteristics_child</w:t>
      </w:r>
      <w:r>
        <w:rPr/>
        <w:br/>
      </w:r>
      <w:r>
        <w:rPr>
          <w:rStyle w:val="VerbatimChar"/>
        </w:rPr>
        <w:t>sex_child -&gt; chemical</w:t>
      </w:r>
      <w:r>
        <w:rPr/>
        <w:br/>
      </w:r>
      <w:r>
        <w:rPr>
          <w:rStyle w:val="VerbatimChar"/>
        </w:rPr>
        <w:t>sex_child -&gt; child_diet</w:t>
      </w:r>
      <w:r>
        <w:rPr/>
        <w:br/>
      </w:r>
      <w:r>
        <w:rPr>
          <w:rStyle w:val="VerbatimChar"/>
        </w:rPr>
        <w:t>sex_child -&gt; child_smoking</w:t>
      </w:r>
      <w:r>
        <w:rPr/>
        <w:br/>
      </w:r>
      <w:r>
        <w:rPr>
          <w:rStyle w:val="VerbatimChar"/>
        </w:rPr>
        <w:t>sex_child -&gt; creatinine</w:t>
      </w:r>
      <w:r>
        <w:rPr/>
        <w:br/>
      </w:r>
      <w:r>
        <w:rPr>
          <w:rStyle w:val="VerbatimChar"/>
        </w:rPr>
        <w:t>sex_child -&gt; neuropsychologicalDiagnosis_child</w:t>
      </w:r>
      <w:r>
        <w:rPr/>
        <w:br/>
      </w:r>
      <w:r>
        <w:rPr>
          <w:rStyle w:val="VerbatimChar"/>
        </w:rPr>
        <w:t>sex_child -&gt; outcome</w:t>
      </w:r>
      <w:r>
        <w:rPr/>
        <w:br/>
      </w:r>
      <w:r>
        <w:rPr>
          <w:rStyle w:val="VerbatimChar"/>
        </w:rPr>
        <w:t>sex_child -&gt; type_sample</w:t>
      </w:r>
      <w:r>
        <w:rPr/>
        <w:br/>
      </w:r>
      <w:r>
        <w:rPr>
          <w:rStyle w:val="VerbatimChar"/>
        </w:rPr>
        <w:t>time_lastMeal -&gt; biomarker</w:t>
      </w:r>
      <w:r>
        <w:rPr/>
        <w:br/>
      </w:r>
      <w:r>
        <w:rPr>
          <w:rStyle w:val="VerbatimChar"/>
        </w:rPr>
        <w:t>time_lastMeal -&gt; chemical</w:t>
      </w:r>
      <w:r>
        <w:rPr/>
        <w:br/>
      </w:r>
      <w:r>
        <w:rPr>
          <w:rStyle w:val="VerbatimChar"/>
        </w:rPr>
        <w:t>type_sample -&gt; chemical</w:t>
      </w:r>
      <w:r>
        <w:rPr/>
        <w:br/>
      </w:r>
      <w:r>
        <w:rPr>
          <w:rStyle w:val="VerbatimChar"/>
        </w:rPr>
        <w:t>type_sample -&gt; creatinine</w:t>
      </w:r>
      <w:r>
        <w:rPr/>
        <w:br/>
      </w:r>
      <w:r>
        <w:rPr>
          <w:rStyle w:val="VerbatimChar"/>
        </w:rPr>
        <w:t>}</w:t>
      </w:r>
      <w:bookmarkEnd w:id="102"/>
      <w:bookmarkEnd w:id="103"/>
    </w:p>
    <w:p>
      <w:pPr>
        <w:pStyle w:val="Heading1"/>
        <w:rPr/>
      </w:pPr>
      <w:bookmarkStart w:id="104" w:name="supplementary-tables"/>
      <w:r>
        <w:rPr/>
        <w:t>Supplementary tables</w:t>
      </w:r>
    </w:p>
    <w:p>
      <w:pPr>
        <w:pStyle w:val="Heading2"/>
        <w:rPr/>
      </w:pPr>
      <w:bookmarkStart w:id="105" w:name="tables-for-descriptive-data-1"/>
      <w:r>
        <w:rPr/>
        <w:t>Tables for descriptive data</w:t>
      </w:r>
    </w:p>
    <w:p>
      <w:pPr>
        <w:pStyle w:val="Heading3"/>
        <w:rPr/>
      </w:pPr>
      <w:bookmarkStart w:id="106" w:name="X3dd11f121b94bf83edf631b791707ae3059cce5"/>
      <w:r>
        <w:rPr/>
        <w:t>Information about the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07" w:name="supptbl-info-chems"/>
                  <w:r>
                    <w:rPr>
                      <w:rFonts w:ascii="Calibri" w:hAnsi="Calibri"/>
                      <w:sz w:val="20"/>
                    </w:rPr>
                    <w:t>Compound</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Variable name</w:t>
                  </w:r>
                </w:p>
              </w:tc>
              <w:tc>
                <w:tcPr>
                  <w:tcW w:w="1829"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PubChem CID</w:t>
                  </w:r>
                </w:p>
              </w:tc>
              <w:tc>
                <w:tcPr>
                  <w:tcW w:w="1829"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Parental compound</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9274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654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3683036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dmdtp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13134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168140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w:t>
                    <w:noBreakHyphen/>
                    <w:t>butyl</w:t>
                    <w:noBreakHyphen/>
                    <w:t>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7184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8434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7456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4632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propyl-paraben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7175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5564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31736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BBzP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 5</w:t>
                    <w:noBreakHyphen/>
                    <w:t>carboxypentyl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148386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hydroxyhexyl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170295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21924291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2</w:t>
                    <w:noBreakHyphen/>
                    <w:t>ethyl</w:t>
                    <w:noBreakHyphen/>
                    <w:t>5</w:t>
                    <w:noBreakHyphen/>
                    <w:t>oxohexyl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119096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DEHP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75318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iso</w:t>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92272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DiBP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n</w:t>
                    <w:noBreakHyphen/>
                    <w:t>butyl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8575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DnBP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hydroxyoctyl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102401880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w:t>
                    <w:noBreakHyphen/>
                    <w:t>4</w:t>
                    <w:noBreakHyphen/>
                    <w:t>methyl</w:t>
                    <w:noBreakHyphen/>
                    <w:t>7</w:t>
                    <w:noBreakHyphen/>
                    <w:t>oxooctyl phthalate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102401881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MiNP</w:t>
                  </w:r>
                </w:p>
              </w:tc>
            </w:tr>
          </w:tbl>
          <w:p>
            <w:pPr>
              <w:pStyle w:val="ImageCaption"/>
              <w:widowControl w:val="false"/>
              <w:spacing w:before="200" w:after="120"/>
              <w:jc w:val="left"/>
              <w:rPr/>
            </w:pPr>
            <w:r>
              <w:rPr/>
              <w:t xml:space="preserve">Table S1: </w:t>
            </w:r>
            <w:r>
              <w:rPr>
                <w:b/>
                <w:bCs/>
              </w:rPr>
              <w:t>Information about non-persistent endocrine disrupting chemicals (EDCs), including the full compound name, the standard symbol, the used variable name, the identifier from PubChem, and the parental compound.</w:t>
            </w:r>
            <w:bookmarkEnd w:id="106"/>
            <w:bookmarkEnd w:id="107"/>
          </w:p>
        </w:tc>
      </w:tr>
    </w:tbl>
    <w:p>
      <w:pPr>
        <w:pStyle w:val="Heading3"/>
        <w:rPr/>
      </w:pPr>
      <w:r>
        <w:rPr/>
        <w:t>Information about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2285"/>
              <w:gridCol w:w="2286"/>
              <w:gridCol w:w="2286"/>
              <w:gridCol w:w="2286"/>
            </w:tblGrid>
            <w:tr>
              <w:trPr>
                <w:tblHeader w:val="true"/>
                <w:cantSplit w:val="true"/>
              </w:trPr>
              <w:tc>
                <w:tcPr>
                  <w:tcW w:w="2285"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08" w:name="supptbl-info-mets"/>
                  <w:r>
                    <w:rPr>
                      <w:rFonts w:ascii="Calibri" w:hAnsi="Calibri"/>
                      <w:sz w:val="20"/>
                    </w:rPr>
                    <w:t>Metabolite</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Symbol</w:t>
                  </w:r>
                </w:p>
              </w:tc>
              <w:tc>
                <w:tcPr>
                  <w:tcW w:w="2286"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HMDB ID</w:t>
                  </w:r>
                </w:p>
              </w:tc>
              <w:tc>
                <w:tcPr>
                  <w:tcW w:w="2286"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CAS number</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Androsternedione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HMDB0000053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63-05-8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Testosterone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HMDB0000234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58-22-0</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HMDB0000031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53-41-8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Etiocholanolone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HMDB0000490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53-42-9</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11-dehydrocorticosterone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HMDB0004029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72-23-1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HMDB0001547</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50-22-6</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50-23-7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HMDB0002802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53-06-5</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11β-hydroxyandrosterone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HMDB0002984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57-61-4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17-deoxycortolone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20α-dihydrocortisone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20β-dihydrocortisone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HMDB0000449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600-63-5</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HMDB0000526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302-91-0</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5α-tetrahydrocortisone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HMDB0003180</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516-38-1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5β,20α-cortolone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HMDB0003128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516-42-7</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HMDB0005821</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667-65-2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5β,20β-cortolone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HMDB0003259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1482-50-4</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HMDB0000268</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68-42-8</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HMDB0000949</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1953-02-01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HMDB0247074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6β-hydroxycortisone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17-hydroxyprogesterone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17OHP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HMDB0000374</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68-96-2</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HMDB0000015</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152-58-9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Deoxycorticosterone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DOC</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HMDB0000016</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64-85-7</w:t>
                  </w:r>
                </w:p>
              </w:tc>
            </w:tr>
            <w:tr>
              <w:trPr>
                <w:cantSplit w:val="true"/>
              </w:trPr>
              <w:tc>
                <w:tcPr>
                  <w:tcW w:w="9143"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17-hydroxypregnanolone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HMDB0000363</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387-79-1</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5β-dihydrocortexolone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5β-tetrahydrocortexolone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Pregnantriol</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1098-45-9</w:t>
                  </w:r>
                </w:p>
              </w:tc>
            </w:tr>
            <w:tr>
              <w:trPr>
                <w:cantSplit w:val="true"/>
              </w:trPr>
              <w:tc>
                <w:tcPr>
                  <w:tcW w:w="228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Tetrahydrocortexolone</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THS</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HMDB0005972</w:t>
                  </w:r>
                </w:p>
              </w:tc>
              <w:tc>
                <w:tcPr>
                  <w:tcW w:w="2286"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68-60-0</w:t>
                  </w:r>
                </w:p>
              </w:tc>
            </w:tr>
            <w:tr>
              <w:trPr>
                <w:cantSplit w:val="true"/>
              </w:trPr>
              <w:tc>
                <w:tcPr>
                  <w:tcW w:w="9143" w:type="dxa"/>
                  <w:gridSpan w:val="4"/>
                  <w:tcBorders/>
                </w:tcPr>
                <w:p>
                  <w:pPr>
                    <w:pStyle w:val="Normal"/>
                    <w:keepNext w:val="true"/>
                    <w:widowControl w:val="false"/>
                    <w:spacing w:before="0" w:after="60"/>
                    <w:rPr/>
                  </w:pPr>
                  <w:r>
                    <w:rPr>
                      <w:rFonts w:ascii="Calibri" w:hAnsi="Calibri"/>
                      <w:sz w:val="20"/>
                    </w:rPr>
                    <w:t>Abbreviations: Human Metabolome Database (HMDB); Chemical Abstracts Service (CAS).</w:t>
                  </w:r>
                </w:p>
              </w:tc>
            </w:tr>
          </w:tbl>
          <w:p>
            <w:pPr>
              <w:pStyle w:val="ImageCaption"/>
              <w:widowControl w:val="false"/>
              <w:spacing w:before="200" w:after="120"/>
              <w:jc w:val="left"/>
              <w:rPr/>
            </w:pPr>
            <w:r>
              <w:rPr/>
              <w:t xml:space="preserve">Table S2: </w:t>
            </w:r>
            <w:r>
              <w:rPr>
                <w:b/>
                <w:bCs/>
              </w:rPr>
              <w:t>Information about the glucocorticosteroids, including the full metabolite name, the standard symbol, the identifier from the HMDB, and the CAS number.</w:t>
            </w:r>
            <w:bookmarkEnd w:id="108"/>
          </w:p>
        </w:tc>
      </w:tr>
    </w:tbl>
    <w:p>
      <w:pPr>
        <w:pStyle w:val="Heading3"/>
        <w:rPr/>
      </w:pPr>
      <w:r>
        <w:rPr/>
        <w:t>Codebooks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09" w:name="supptbl-codebook-1"/>
                  <w:bookmarkStart w:id="110" w:name="supptbl-codebook-1"/>
                </w:p>
              </w:tc>
              <w:tc>
                <w:tcPr>
                  <w:tcW w:w="1143"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included</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breastfeeding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hs_creatinine_cg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envFactors_visit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Usual, 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hs_rest_nth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 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maternalAlcohol_preg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e3_alcpreg_g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Alcool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Glasses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maternalDiet_preg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h_cereal_preg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Cereal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h_dairy_preg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Dairy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h_fastfood_preg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h_fish_preg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h_fruit_preg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h_legume_preg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Legume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h_meat_preg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Meat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h_veg_preg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e3_marital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with the father, Living alone, 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Socioeconomic status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Low income, Medium income, High income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maternalSmoking_preg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e3_asmokyn_p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e3_psmokanyt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neuropsychologicalDiagnosis_child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hs_neuro_diag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season_visit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hs_date_neu</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time_lastMeal</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hs_dift_mealblood_imp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Percentage of confounders included in the models: 65.79%.</w:t>
                  </w:r>
                </w:p>
              </w:tc>
            </w:tr>
          </w:tbl>
          <w:p>
            <w:pPr>
              <w:pStyle w:val="ImageCaption"/>
              <w:widowControl w:val="false"/>
              <w:spacing w:before="200" w:after="120"/>
              <w:jc w:val="left"/>
              <w:rPr/>
            </w:pPr>
            <w:r>
              <w:rPr/>
              <w:t xml:space="preserve">Table S3: </w:t>
            </w:r>
            <w:r>
              <w:rPr>
                <w:b/>
                <w:bCs/>
              </w:rPr>
              <w:t>Codebook for the covariates used in the estimation of the marginal comparisons of endocrine disrupting chemicals (EDCs) on hit reaction time standard error (HRT-SE).</w:t>
            </w:r>
            <w:bookmarkEnd w:id="110"/>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11" w:name="supptbl-codebook-2"/>
                  <w:bookmarkStart w:id="112" w:name="supptbl-codebook-2"/>
                </w:p>
              </w:tc>
              <w:tc>
                <w:tcPr>
                  <w:tcW w:w="1143"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included</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creatinine_to_helix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hs_creatinine_cg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season_visit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hs_date_neu</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time_lastMeal</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hs_dift_mealblood_imp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Percentage of confounders included in the models: 95%.</w:t>
                  </w:r>
                </w:p>
              </w:tc>
            </w:tr>
          </w:tbl>
          <w:p>
            <w:pPr>
              <w:pStyle w:val="ImageCaption"/>
              <w:widowControl w:val="false"/>
              <w:spacing w:before="200" w:after="120"/>
              <w:jc w:val="left"/>
              <w:rPr/>
            </w:pPr>
            <w:r>
              <w:rPr/>
              <w:t xml:space="preserve">Table S4: </w:t>
            </w:r>
            <w:r>
              <w:rPr>
                <w:b/>
                <w:bCs/>
              </w:rPr>
              <w:t>Codebook for the covariates used in the estimation of the marginal comparisons of endocrine disrupting chemicals (EDCs) on the glucocorticosteroids.</w:t>
            </w:r>
            <w:bookmarkEnd w:id="112"/>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bookmarkStart w:id="113" w:name="supptbl-codebook-3"/>
                  <w:bookmarkStart w:id="114" w:name="supptbl-codebook-3"/>
                </w:p>
              </w:tc>
              <w:tc>
                <w:tcPr>
                  <w:tcW w:w="1143"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type</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description</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coding</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labels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remarks</w:t>
                  </w:r>
                </w:p>
              </w:tc>
              <w:tc>
                <w:tcPr>
                  <w:tcW w:w="1143"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comments</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included</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age_child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hs_age_years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breastfeeding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characteristics_child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hs_c_weight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hs_head_circ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chemical</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Bisphenol A (BPA)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hs_bupa_c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N-Butyl paraben (BUPA)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hs_dedtp_cadj</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dithiophosphate (DEDTP) adjusted for creatinine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phosphate (DEP)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hs_detp_c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Diethyl thiophosphate (DETP)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hs_dmdtp_craw</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dithiophosphate (DMDTP)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phosphate (DMP)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hs_dmtp_c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Dimethyl thiophosphate (DMTP)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hs_etpa_c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Ethyl paraben (ETPA)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hs_mbzp_c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 benzyl phthalate (MbzP)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hs_mecpp_c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 5-carboxypentyl phthalate (MECPP)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hs_mehhp_c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Mono-2-ethyl-5-hydroxyhexyl phthalate (MEHHP)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hs_mehp_c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Mono-2-ethylhexyl phthalate (MEHP)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hs_meohp_c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Mono-2-ethyl-5-oxohexyl phthalate (MEOHP)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Monoethyl phthalate (MEP)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hs_mepa_c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Methyl paraben (MEPA)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hs_mibp_c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Mono-iso-butyl phthalate (MiBP)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hs_mnbp_c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Mono-n-butyl phthalate (MnBP)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hs_ohminp_c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Mono-4-methyl-7-hydroxyoctyl phthalate (OHMiNP)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hs_oxbe_c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Oxybenzone (OXBE)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hs_oxominp_c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Mono-4-methyl-7-oxooctyl phthalate (OXOMiNP)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hs_prpa_c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Propyl paraben (PRPA)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hs_trcs_c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Triclosan (TRCS)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Values below the limit of detection imputed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microg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child_diet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hs_fastfood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hs_org_food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hs_total_fish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hs_total_veg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child_smoking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hs_tob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Non-smoker and has never smoked, Non-smoker but previously smoked although not daily, Non-smoker but previously smoked daily, Smoker but not daily, 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cohort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Cohort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SAB,EDEN,BIB,RHEA,KANC,MOBA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SAB, EDEN, BIB, RHEA, KANC, MOBA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creatinine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creatinine_to_helix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 / 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envFactors_visit</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hs_mood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Usual, 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hs_rest_nth</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Yes, 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h_ethnicity_c</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character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African, Asian, Caucasian, Native American, Other, Pakistani,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ethnicity_mother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h_ethnicity_m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integer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Mother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White European, Pakistani, Asian, African, Other, Native American, 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familySEP</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FAS_score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hs_finance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comfortably, Doing alright, Getting by, Finding it quite difficult, Finding it very difficult, 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maternalAlcohol_preg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e3_alcpreg_g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Alcool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Glasses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maternalDiet_preg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h_cereal_preg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Cereal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h_dairy_preg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Dairy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h_fastfood_preg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h_fish_preg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h_fruit_preg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h_legume_preg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Legume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h_meat_preg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Meat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h_veg_preg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numerical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consumption during pregnancy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Times / 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e3_marital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Living with the father, Living alone, 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Socioeconomic status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Low income, Medium income, High income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maternalSmoking_preg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e3_asmokyn_p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e3_psmokanyt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neuropsychologicalDiagnosis_child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hs_neuro_diag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No, 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paternalSEP_preg</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e3_eduf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Paternal education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Primary school, Secondary school, University degree or higher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FALSE</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sex_child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e3_sex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categorical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Male, 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TRUE</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Percentage of confounders included in the models: 74.58%.</w:t>
                  </w:r>
                </w:p>
              </w:tc>
            </w:tr>
          </w:tbl>
          <w:p>
            <w:pPr>
              <w:pStyle w:val="ImageCaption"/>
              <w:widowControl w:val="false"/>
              <w:spacing w:before="200" w:after="120"/>
              <w:jc w:val="left"/>
              <w:rPr/>
            </w:pPr>
            <w:r>
              <w:rPr/>
              <w:t xml:space="preserve">Table S5: </w:t>
            </w:r>
            <w:r>
              <w:rPr>
                <w:b/>
                <w:bCs/>
              </w:rPr>
              <w:t>Codebook for the covariates used in the estimation of the marginal comparisons of the glucocorticosteroids on hit reaction time standard error (HRT-SE).</w:t>
            </w:r>
            <w:bookmarkEnd w:id="114"/>
          </w:p>
        </w:tc>
      </w:tr>
    </w:tbl>
    <w:p>
      <w:pPr>
        <w:pStyle w:val="Heading3"/>
        <w:rPr/>
      </w:pPr>
      <w:r>
        <w:rPr/>
        <w:t>Lower limits of quantification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571"/>
              <w:gridCol w:w="4572"/>
            </w:tblGrid>
            <w:tr>
              <w:trPr>
                <w:tblHeader w:val="true"/>
                <w:cantSplit w:val="true"/>
              </w:trPr>
              <w:tc>
                <w:tcPr>
                  <w:tcW w:w="457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5" w:name="supptbl-lloq-mets"/>
                  <w:r>
                    <w:rPr>
                      <w:rFonts w:ascii="Calibri" w:hAnsi="Calibri"/>
                      <w:sz w:val="20"/>
                    </w:rPr>
                    <w:t>Metabolite</w:t>
                  </w:r>
                </w:p>
              </w:tc>
              <w:tc>
                <w:tcPr>
                  <w:tcW w:w="4572"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LLOQ</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457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45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0.10</w:t>
                  </w:r>
                </w:p>
              </w:tc>
            </w:tr>
            <w:tr>
              <w:trPr>
                <w:cantSplit w:val="true"/>
              </w:trPr>
              <w:tc>
                <w:tcPr>
                  <w:tcW w:w="9143" w:type="dxa"/>
                  <w:gridSpan w:val="2"/>
                  <w:tcBorders/>
                </w:tcPr>
                <w:p>
                  <w:pPr>
                    <w:pStyle w:val="Normal"/>
                    <w:keepNext w:val="true"/>
                    <w:widowControl w:val="false"/>
                    <w:spacing w:before="0" w:after="60"/>
                    <w:rPr/>
                  </w:pPr>
                  <w:r>
                    <w:rPr>
                      <w:rFonts w:ascii="Calibri" w:hAnsi="Calibri"/>
                      <w:sz w:val="20"/>
                    </w:rPr>
                    <w:t>Abbreviations: lower limit of quantification (LLOQ).</w:t>
                  </w:r>
                </w:p>
              </w:tc>
            </w:tr>
          </w:tbl>
          <w:p>
            <w:pPr>
              <w:pStyle w:val="ImageCaption"/>
              <w:widowControl w:val="false"/>
              <w:spacing w:before="200" w:after="120"/>
              <w:jc w:val="left"/>
              <w:rPr/>
            </w:pPr>
            <w:r>
              <w:rPr/>
              <w:t xml:space="preserve">Table S6: </w:t>
            </w:r>
            <w:r>
              <w:rPr>
                <w:b/>
                <w:bCs/>
              </w:rPr>
              <w:t>Lower limits of quantification expressed in ng/ml for the glucocorticosteroids (HELIX subcohort; 2013-2016).</w:t>
            </w:r>
            <w:bookmarkEnd w:id="115"/>
          </w:p>
        </w:tc>
      </w:tr>
    </w:tbl>
    <w:p>
      <w:pPr>
        <w:pStyle w:val="Heading3"/>
        <w:rPr/>
      </w:pPr>
      <w:r>
        <w:rPr/>
        <w:t>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6" w:name="supptbl-pop-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1,297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204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198</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221</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203</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272</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199</w:t>
                  </w:r>
                  <w:r>
                    <w:rPr>
                      <w:rFonts w:ascii="Calibri" w:hAnsi="Calibri"/>
                      <w:i/>
                      <w:sz w:val="20"/>
                      <w:vertAlign w:val="superscript"/>
                    </w:rPr>
                    <w:t>a</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age (years)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(6.5, 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(6.5,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 (10.4, 11.2)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 (8.4, 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 (6.1,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(8.2, 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(6.4, 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breastfeeding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1,093.0 (84.7%)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147.0 (72.4%)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128.0 (65.0%)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(88.6%)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(88.4%)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ethnicity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Caucasian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1,157.0 (90.0%)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196.0 (99.5%)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221.0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(100.0%)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254.0 (95.8%)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199.0 (100.0%)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Pakistani</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(39.2%)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Asian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African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Native American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White non European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head circumference (cm)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 (50.6, 52.9)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 (50.3, 52.3)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 (49.5, 52.0)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52.3 (51.3, 53.3)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52.0 (51.0, 53.0)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52.5 (51.5, 53.6)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(50.2, 52.0)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height (m)</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(1.2,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(1.4,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 (1.3, 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(1.2, 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neuropsychological diagnosis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95.0 (7.3%)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rest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Yes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1,209.0 (93.3%)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192.0 (94.1%)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170.0 (86.3%)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206.0 (93.2%)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259.0 (95.2%)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182.0 (91.5%)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as well as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sex</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112.0 (54.9%)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113.0 (57.1%)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120.0 (54.3%)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111.0 (55.8%)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Female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587.0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85.0 (42.9%)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(45.3%)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129.0 (47.4%)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88.0 (44.2%)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Child weight (kg)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26.9 (22.9, 32.6)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(20.3, 25.0)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(32.4, 41.2)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(26.8, 36.5)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23.6 (21.4, 27.1)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28.5 (25.7, 31.6)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(21.2, 27.2)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Chiod mood before assessment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1,232.0 (95.1%)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198.0 (97.1%)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176.0 (89.3%)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214.0 (96.8%)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187.0 (92.1%)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262.0 (96.3%)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195.0 (98.0%)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Not usual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night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(0.6,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(2.0, 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 (1.5,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 (0.9, 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(1.2,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 (0.4, 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Creatinine pooled sample (g/l)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 (1.0,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(0.8, 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 (0.7, 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Date of test (season)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Spring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358.0 (27.7%)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71.0 (32.4%)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(13.6%)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(38.9%)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Winter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339.0 (26.2%)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(26.8%)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(15.2%)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Autumn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77.0 (37.9%)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105.0 (38.6%)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Summer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297.0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67.0 (32.8%)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72.0 (36.4%)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Family affluence scale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410.0 (31.7%)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(32.3%)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75.0 (34.1%)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(24.8%)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142.0 (52.2%)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65.0 (29.5%)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69.0 (34.2%)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57.0 (28.6%)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248.0 (19.2%)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90.0 (45.5%)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(6.9%)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174.0 (13.4%)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38.0 (18.8%)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92.0 (7.1%)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 (16.7%)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16.0 (7.8%)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 food/take away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 0.1)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(0.1,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Fasting time before visit (hours)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 (2.8, 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(2.6,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 (2.8, 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(3.3, 4.8)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Financial situation of the parents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Doing alright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414.0 (32.1%)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73.0 (35.8%)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94.0 (47.5%)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61.0 (30.5%)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 (29.3%)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comfortably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412.0 (31.9%)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49.0 (24.7%)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48.0 (24.0%)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202.0 (74.3%)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(12.6%)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Getting by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331.0 (25.6%)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59.0 (28.9%)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36.0 (18.2%)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(37.4%)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70.0 (35.0%)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 (1.5%)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80.0 (40.4%)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quite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86.0 (6.7%)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Finding it very difficult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 (2.5%)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15.0 (6.8%)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(4.0%)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Does not wish to answer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Fish and seafood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(1.1, 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 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 (1.4,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 (2.1,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 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 (1.6, 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(1.0, 2.0)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Fruits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 (10.0,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(3.3, 13.5)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 (3.6,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 (3.8,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 (8.6, 21.0)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(6.2, 13.5)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Hit reaction time standard error (ms)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299.6 (231.3, 368.2)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355.1 (292.1, 397.5)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237.7 (184.7, 307.0)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256.0 (197.4, 313.8)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368.4 (324.2, 406.6)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248.7 (193.0, 300.9)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340.9 (281.1, 399.2)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Marital status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with the father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1,212.0 (94.5%)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178.0 (87.3%)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193.0 (98.0%)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219.0 (99.1%)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168.0 (84.4%)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260.0 (98.5%)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194.0 (98.5%)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Living alone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39.0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(15.6%)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Other situation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31.0 (2.4%)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Maternal tobacco consumption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and has never smoked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681.0 (52.6%)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(72.5%)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87.0 (43.9%)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(46.8%)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104.0 (51.7%)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138.0 (50.7%)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101.0 (50.8%)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Daily smoker</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200.0 (15.5%)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45.0 (20.5%)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24.0 (11.9%)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(26.6%)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(14.4%)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(5.4%)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37.0 (18.7%)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(19.1%)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53.0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22.0 (11.1%)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Non-smoker but previously smoked although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163.0 (12.6%)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 (9.6%)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32.0 (15.9%)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63.0 (23.2%)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(7.0%)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Smoker but not daily</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64.0 (4.9%)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7.0 (3.2%)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(4.5%)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Organic food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(0.0,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(0.1,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 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 (0.0, 1.0)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active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190.0 (15.1%)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25.0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47.0 (23.7%)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(6.0%)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(21.2%)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Pregnancy maternal passive smoking</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514.0 (40.3%)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55.0 (27.5%)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43.0 (21.8%)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126.0 (57.8%)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97.0 (48.7%)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179.0 (90.4%)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Vegetables (times/week)</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(4.0, 10.0)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 (4.4, 11.0)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(3.0,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 (3.5, 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 (6.0,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(4.0, 10.0)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 n (%)</w:t>
                  </w:r>
                </w:p>
              </w:tc>
            </w:tr>
          </w:tbl>
          <w:p>
            <w:pPr>
              <w:pStyle w:val="ImageCaption"/>
              <w:widowControl w:val="false"/>
              <w:spacing w:before="200" w:after="120"/>
              <w:jc w:val="left"/>
              <w:rPr/>
            </w:pPr>
            <w:r>
              <w:rPr/>
              <w:t xml:space="preserve">Table S7: </w:t>
            </w:r>
            <w:r>
              <w:rPr>
                <w:b/>
                <w:bCs/>
              </w:rPr>
              <w:t>Participant characteristics, by cohort and overall (HELIX subcohort; 2013-2016).</w:t>
            </w:r>
            <w:bookmarkEnd w:id="116"/>
          </w:p>
        </w:tc>
      </w:tr>
    </w:tbl>
    <w:p>
      <w:pPr>
        <w:pStyle w:val="Heading3"/>
        <w:rPr/>
      </w:pPr>
      <w:r>
        <w:rPr/>
        <w:t>Concentrations of the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142"/>
              <w:gridCol w:w="1143"/>
              <w:gridCol w:w="1143"/>
              <w:gridCol w:w="1143"/>
              <w:gridCol w:w="1143"/>
              <w:gridCol w:w="1143"/>
              <w:gridCol w:w="1143"/>
              <w:gridCol w:w="1143"/>
            </w:tblGrid>
            <w:tr>
              <w:trPr>
                <w:tblHeader w:val="true"/>
                <w:cantSplit w:val="true"/>
              </w:trPr>
              <w:tc>
                <w:tcPr>
                  <w:tcW w:w="114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7" w:name="supptbl-met-desc"/>
                  <w:r>
                    <w:rPr>
                      <w:rFonts w:ascii="Calibri" w:hAnsi="Calibri"/>
                      <w:b/>
                      <w:sz w:val="20"/>
                    </w:rPr>
                    <w:t>Characteristic</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Overall</w:t>
                  </w:r>
                  <w:r>
                    <w:rPr>
                      <w:rFonts w:ascii="Calibri" w:hAnsi="Calibri"/>
                      <w:sz w:val="20"/>
                    </w:rPr>
                    <w:t>, N = 1,004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BIB</w:t>
                  </w:r>
                  <w:r>
                    <w:rPr>
                      <w:rFonts w:ascii="Calibri" w:hAnsi="Calibri"/>
                      <w:sz w:val="20"/>
                    </w:rPr>
                    <w:t>, N = 154</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EDEN</w:t>
                  </w:r>
                  <w:r>
                    <w:rPr>
                      <w:rFonts w:ascii="Calibri" w:hAnsi="Calibri"/>
                      <w:sz w:val="20"/>
                    </w:rPr>
                    <w:t>, N = 137</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INMA</w:t>
                  </w:r>
                  <w:r>
                    <w:rPr>
                      <w:rFonts w:ascii="Calibri" w:hAnsi="Calibri"/>
                      <w:sz w:val="20"/>
                    </w:rPr>
                    <w:t>, N = 205</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KANC</w:t>
                  </w:r>
                  <w:r>
                    <w:rPr>
                      <w:rFonts w:ascii="Calibri" w:hAnsi="Calibri"/>
                      <w:sz w:val="20"/>
                    </w:rPr>
                    <w:t>, N = 180</w:t>
                  </w:r>
                  <w:r>
                    <w:rPr>
                      <w:rFonts w:ascii="Calibri" w:hAnsi="Calibri"/>
                      <w:i/>
                      <w:sz w:val="20"/>
                      <w:vertAlign w:val="superscript"/>
                    </w:rPr>
                    <w:t>a</w:t>
                  </w:r>
                </w:p>
              </w:tc>
              <w:tc>
                <w:tcPr>
                  <w:tcW w:w="114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b/>
                      <w:sz w:val="20"/>
                    </w:rPr>
                    <w:t>MOBA</w:t>
                  </w:r>
                  <w:r>
                    <w:rPr>
                      <w:rFonts w:ascii="Calibri" w:hAnsi="Calibri"/>
                      <w:sz w:val="20"/>
                    </w:rPr>
                    <w:t>, N = 200</w:t>
                  </w:r>
                  <w:r>
                    <w:rPr>
                      <w:rFonts w:ascii="Calibri" w:hAnsi="Calibri"/>
                      <w:i/>
                      <w:sz w:val="20"/>
                      <w:vertAlign w:val="superscript"/>
                    </w:rPr>
                    <w:t>a</w:t>
                  </w:r>
                </w:p>
              </w:tc>
              <w:tc>
                <w:tcPr>
                  <w:tcW w:w="114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RHEA</w:t>
                  </w:r>
                  <w:r>
                    <w:rPr>
                      <w:rFonts w:ascii="Calibri" w:hAnsi="Calibri"/>
                      <w:sz w:val="20"/>
                    </w:rPr>
                    <w:t>, N = 128</w:t>
                  </w:r>
                  <w:r>
                    <w:rPr>
                      <w:rFonts w:ascii="Calibri" w:hAnsi="Calibri"/>
                      <w:i/>
                      <w:sz w:val="20"/>
                      <w:vertAlign w:val="superscript"/>
                    </w:rPr>
                    <w:t>a</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(2.4, 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(2.8, 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 (2.6, 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 (1.6, 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3.8 (2.0, 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 (2.7, 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5.9 (3.5, 14.9)</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22.9 (13.1, 38.5)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 (14.5, 41.4)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28.6 (14.1, 42.0)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17.1 (10.3, 27.4)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21.4 (12.0, 33.7)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23.3 (14.1, 38.1)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28.9 (19.3, 59.4)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(3.2, 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 (4.2, 10.4)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7.8 (4.2, 11.4)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 (2.9, 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 (2.7, 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5.2 (3.0, 9.1)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 (3.4, 13.1)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11OHAndros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234.2 (130.3, 390.5)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259.7 (151.9, 375.0)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413.0 (221.7, 617.0)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256.7 (142.9, 365.1)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163.3 (80.7, 298.5)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254.4 (151.5, 408.4)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165.4 (95.9, 304.2)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17-DO-cortolone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57.5 (29.1, 101.7)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 (32.8, 100.6)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76.5 (46.0, 137.6)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61.3 (32.5, 102.1)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43.7 (15.1, 93.4)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56.4 (26.4, 92.0)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51.2 (28.5, 94.3)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16.6 (9.7, 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(7.0, 25.8)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25.8 (15.1, 37.8)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15.6 (10.2, 23.0)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(7.7, 25.6)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17.5 (11.7, 26.1)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 (8.7, 27.6)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20aDHF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6.6 (3.3, 13.3)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 (3.8,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(5.7, 19.5)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 (3.0, 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4.8 (2.2, 11.4)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 (4.2, 14.0)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 (2.9, 13.8)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9.5 (6.2, 14.3)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(4.8, 14.8)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(9.7, 17.3)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(6.6, 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8.9 (5.1, 13.7)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 (5.9, 14.3)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8.7 (5.3, 15.2)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15.2 (9.1, 24.8)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16.5 (10.8, 26.5)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 (12.0, 32.0)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13.0 (8.0, 18.1)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14.0 (8.5, 24.5)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 (8.4, 23.5)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(7.9, 27.5)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88.9 (52.1, 141.6)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109.8 (61.7, 177.3)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103.0 (58.0, 153.8)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83.0 (45.9, 118.7)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84.7 (46.9, 145.9)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88.6 (53.7, 138.2)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72.4 (47.2, 130.2)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122.4 (70.4, 185.0)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131.0 (66.3, 182.3)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148.8 (108.8, 226.1)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124.3 (68.9, 178.8)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115.2 (62.9, 189.2)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114.7 (67.8, 172.7)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105.3 (72.6, 175.0)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133.1 (76.1, 222.4)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159.8 (101.7, 241.3)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144.2 (87.9, 255.3)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115.7 (73.3, 171.7)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148.0 (82.6, 245.6)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106.1 (61.1, 184.9)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139.9 (74.6, 260.5)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73.9 (39.7, 124.0)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82.0 (52.1, 145.7)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83.9 (41.5, 132.7)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62.2 (32.3, 97.3)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71.3 (40.3, 121.7)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64.5 (36.4, 103.9)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107.9 (51.2, 183.2)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5aTHF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2,870.0 (1,663.7, 4,389.0)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3,394.6 (2,288.1, 5,308.1)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3,474.2 (1,856.1, 5,253.4)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2,756.9 (1,565.6, 3,758.3)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2,907.3 (1,656.1, 4,621.2)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2,283.3 (1,259.8, 3,454.6)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3,001.9 (1,652.3, 4,613.6)</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147.7 (83.5, 225.8)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177.4 (98.9, 302.3)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(91.1, 252.9)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141.9 (76.6, 187.6)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143.0 (80.2, 229.8)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143.7 (86.6, 204.2)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137.7 (79.6, 220.5)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5b20acortolone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641.9 (366.0, 983.1)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638.3 (385.0, 1,028.2)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903.7 (574.5, 1,296.1)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654.6 (398.7, 890.7)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518.0 (261.2, 870.2)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580.6 (318.0, 901.5)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629.3 (400.9, 962.4)</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195.7 (120.1, 302.4)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242.7 (152.0, 356.8)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225.2 (142.1, 371.5)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199.9 (130.5, 289.3)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155.8 (88.0, 270.4)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186.3 (115.5, 269.4)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177.5 (113.7, 301.7)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5b20bcortolone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546.9 (336.3, 837.1)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561.3 (331.3, 889.9)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682.3 (452.0, 1,031.1)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534.1 (372.6, 792.7)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505.0 (272.3, 769.3)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496.1 (289.2, 761.3)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563.5 (328.4, 881.5)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(0.9, 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(0.9, 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 (1.3, 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(0.6, 1.8)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(1.1, 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 (0.6, 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 (1.0, 2.1)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5bTHB</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49.3 (28.0, 82.7)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53.3 (27.5, 98.3)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60.9 (34.9, 94.5)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50.0 (29.7, 73.1)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43.8 (27.5, 89.7)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40.0 (24.7, 65.7)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53.5 (28.4, 76.7)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3,138.3 (1,889.5, 4,694.0)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3,552.8 (2,335.3, 4,797.4)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3,649.6 (2,293.5, 5,317.1)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2,911.6 (1,615.2, 4,050.7)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2,754.6 (1,448.0, 3,989.3)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3,070.1 (1,785.5, 4,637.7)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3,541.6 (2,010.1, 5,901.3)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906.5 (548.0, 1,416.1)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1,116.2 (660.8, 1,644.8)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1,238.6 (743.1, 1,578.3)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882.9 (542.6, 1,199.8)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753.9 (389.4, 1,258.7)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859.7 (492.9, 1,261.3)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881.5 (565.0, 1,441.1)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6OHE</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11.9 (6.5, 18.4)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 (7.6, 20.6)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12.2 (6.1, 17.4)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9.2 (5.3, 14.1)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13.1 (7.1, 19.6)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11.2 (6.4, 18.1)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14.3 (8.7, 24.3)</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6OHF</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42.8 (22.5, 76.7)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51.9 (29.8, 93.9)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55.8 (29.8, 82.3)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32.3 (18.5, 53.3)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36.6 (19.7, 68.7)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46.0 (27.9, 82.9)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42.0 (21.1, 93.2)</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(0.3,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(0.4, 0.9)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(0.2, 0.8)</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Glucocorticosteroid precursor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17HP</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22.3 (15.1, 33.5)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17.0 (11.1, 27.6)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33.2 (23.5, 44.0)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(13.2, 32.2)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20.3 (10.8, 33.1)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23.0 (17.5, 31.2)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21.8 (15.7, 32.2)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5bDHS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5bTHS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30.7 (18.5, 50.5)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35.7 (20.7, 59.2)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34.5 (19.8, 52.1)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27.7 (17.6, 43.0)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 (18.6, 55.1)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26.2 (14.2, 40.8)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33.7 (20.0, 58.2)</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200.6 (112.8, 342.0)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149.1 (87.6, 246.3)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378.8 (230.8, 542.8)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253.4 (150.0, 404.4)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142.2 (82.4, 273.7)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176.4 (112.9, 283.3)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189.4 (104.9, 306.3)</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AED</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(0.2,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0.3)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 (0.1, 1.1)</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 (0.3,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 (0.5,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 (0.5, 1.9)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 (0.3, 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 (0.2, 0.6)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 (0.3, 0.7)</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w:t>
                  </w:r>
                </w:p>
              </w:tc>
            </w:tr>
            <w:tr>
              <w:trPr>
                <w:cantSplit w:val="true"/>
              </w:trPr>
              <w:tc>
                <w:tcPr>
                  <w:tcW w:w="9143" w:type="dxa"/>
                  <w:gridSpan w:val="8"/>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Androgen metabolite</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Andros</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186.0 (78.1, 394.0)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148.4 (72.0, 267.9)</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552.2 (308.7, 980.2)</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295.4 (129.1, 513.8)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98.4 (39.6, 227.5)</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134.7 (63.4, 293.1)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110.0 (61.6, 226.5)</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Etio</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110.9 (50.7, 237.8)</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75.1 (32.6, 151.0)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369.7 (231.8, 561.0)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169.7 (84.0, 306.1)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74.8 (37.6, 122.6)</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91.4 (45.8, 184.0)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76.2 (41.2, 147.0)</w:t>
                  </w:r>
                </w:p>
              </w:tc>
            </w:tr>
            <w:tr>
              <w:trPr>
                <w:cantSplit w:val="true"/>
              </w:trPr>
              <w:tc>
                <w:tcPr>
                  <w:tcW w:w="11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    </w:t>
                  </w:r>
                  <w:r>
                    <w:rPr>
                      <w:rFonts w:ascii="Calibri" w:hAnsi="Calibri"/>
                      <w:sz w:val="20"/>
                    </w:rPr>
                    <w:t>Unknown</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c>
                <w:tcPr>
                  <w:tcW w:w="114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w:t>
                  </w:r>
                </w:p>
              </w:tc>
            </w:tr>
            <w:tr>
              <w:trPr>
                <w:cantSplit w:val="true"/>
              </w:trPr>
              <w:tc>
                <w:tcPr>
                  <w:tcW w:w="9143" w:type="dxa"/>
                  <w:gridSpan w:val="8"/>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Median (IQR)</w:t>
                  </w:r>
                </w:p>
              </w:tc>
            </w:tr>
          </w:tbl>
          <w:p>
            <w:pPr>
              <w:pStyle w:val="ImageCaption"/>
              <w:widowControl w:val="false"/>
              <w:spacing w:before="200" w:after="120"/>
              <w:jc w:val="left"/>
              <w:rPr/>
            </w:pPr>
            <w:r>
              <w:rPr/>
              <w:t xml:space="preserve">Table S8: </w:t>
            </w:r>
            <w:r>
              <w:rPr>
                <w:b/>
                <w:bCs/>
              </w:rPr>
              <w:t>Participants glucocorticosteroids concentrations, by cohort and overall (HELIX subcohort; 2013-2016).</w:t>
            </w:r>
            <w:bookmarkEnd w:id="105"/>
            <w:bookmarkEnd w:id="117"/>
          </w:p>
        </w:tc>
      </w:tr>
    </w:tbl>
    <w:p>
      <w:pPr>
        <w:pStyle w:val="Heading2"/>
        <w:rPr/>
      </w:pPr>
      <w:r>
        <w:rPr/>
        <w:t>Tables for main results</w:t>
      </w:r>
    </w:p>
    <w:p>
      <w:pPr>
        <w:pStyle w:val="Heading3"/>
        <w:rPr/>
      </w:pPr>
      <w:bookmarkStart w:id="118" w:name="balancing-weights-sample-sizes"/>
      <w:r>
        <w:rPr/>
        <w:t>Balancing weights: sample sizes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19" w:name="supptbl-balance-1"/>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1,289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1,255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1,137</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1,219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1,172</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1,199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1,090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1,054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1,035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1,010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1,000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980.7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927.3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S9: </w:t>
            </w:r>
            <w:r>
              <w:rPr>
                <w:b/>
                <w:bCs/>
              </w:rPr>
              <w:t>Effective sample size before and after balancing weights estimation (exposures: endocrine disrupting chemicals (EDCs); outcome: hit reaction time standard error (HRT-SE)) (HELIX subcohort; 2013-2016).</w:t>
            </w:r>
            <w:bookmarkEnd w:id="119"/>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0" w:name="supptbl-balance-2"/>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960.1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956.0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856.4</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907.3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893.3</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877.9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873.6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828.8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796.3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784.8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768.1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761.5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690.9</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S10: </w:t>
            </w:r>
            <w:r>
              <w:rPr>
                <w:b/>
                <w:bCs/>
              </w:rPr>
              <w:t>Effective sample size before and after balancing weights estimation (exposures: endocrine disrupting chemicals (EDCs); outcomes: glucocorticosteroids) (HELIX subcohort; 2013-2016).</w:t>
            </w:r>
            <w:bookmarkEnd w:id="120"/>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bookmarkStart w:id="121" w:name="supptbl-balance-3"/>
                  <w:r>
                    <w:rPr>
                      <w:rFonts w:ascii="Calibri" w:hAnsi="Calibri"/>
                      <w:sz w:val="20"/>
                    </w:rPr>
                    <w:t>Exposure</w:t>
                  </w:r>
                </w:p>
              </w:tc>
              <w:tc>
                <w:tcPr>
                  <w:tcW w:w="3048"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Unadjusted</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Adjusted</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777.2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757.5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976.0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751.5</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S11: </w:t>
            </w:r>
            <w:r>
              <w:rPr>
                <w:b/>
                <w:bCs/>
              </w:rPr>
              <w:t>Effective sample size before and after balancing weights estimation (exposures: glucocorticosteroids; outcome: hit reaction time standard error (HRT-SE)) (HELIX subcohort; 2013-2016).</w:t>
            </w:r>
            <w:bookmarkEnd w:id="118"/>
            <w:bookmarkEnd w:id="121"/>
          </w:p>
        </w:tc>
      </w:tr>
    </w:tbl>
    <w:p>
      <w:pPr>
        <w:pStyle w:val="Heading3"/>
        <w:rPr/>
      </w:pPr>
      <w:r>
        <w:rPr/>
        <w:t>Balancing weights: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2" w:name="supptbl-weights-1"/>
                  <w:bookmarkStart w:id="123" w:name="supptbl-weights-1"/>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1,297</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0.49, 1.50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1.19)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0.59, 1.39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0.61, 1.41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0.74, 1.25</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(0.96, 1.07)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0.88, 1.14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0.80, 1.23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(0.91, 1.11)</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0.81, 1.22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1.09)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0.79, 1.21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(0.87,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0.68, 1.28</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(0.61,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0.27, 1.77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(0.46,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0.05, 1.92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0.20, 1.74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0.35, 1.62</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(0.64, 1.28)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(0.54,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0.16, 1.78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(0.74, 1.24)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0.47, 1.51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(0.78,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0.52, 1.43</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S12: </w:t>
            </w:r>
            <w:r>
              <w:rPr>
                <w:b/>
                <w:bCs/>
              </w:rPr>
              <w:t>Summary statistics of the estimated balancing weights (exposures: endocrine disrupting chemicals (EDCs); outcome: hit reaction time standard error (HRT-SE)) (HELIX subcohort; 2013-2016).</w:t>
            </w:r>
            <w:bookmarkEnd w:id="123"/>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4" w:name="supptbl-weights-2"/>
                  <w:bookmarkStart w:id="125" w:name="supptbl-weights-2"/>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(0.75,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(0.81, 1.20)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0.64, 1.41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(0.82, 1.18)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0.62, 1.41</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(0.90,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0.72, 1.24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(0.92, 1.12)</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(0.70, 1.26)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(0.90, 1.13)</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0.75, 1.27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(0.92, 1.10)</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0.78, 1.21</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1.14)</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0.68, 1.29</w:t>
                  </w:r>
                </w:p>
              </w:tc>
            </w:tr>
            <w:tr>
              <w:trPr>
                <w:cantSplit w:val="true"/>
              </w:trPr>
              <w:tc>
                <w:tcPr>
                  <w:tcW w:w="9144"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(0.60, 1.27)</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0.28, 1.74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0.88 (0.44, 1.38)</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0.09, 1.98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(0.52,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0.94 (0.68,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0.35, 1.68</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(0.65, 1.29)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0.33, 1.64</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0.21, 1.69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1.35)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0.18, 1.77</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(0.55, 1.36)</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0.19, 1.76</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(0.73,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0.45, 1.49</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(0.71, 1.25)</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0.45, 1.52</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S13: </w:t>
            </w:r>
            <w:r>
              <w:rPr>
                <w:b/>
                <w:bCs/>
              </w:rPr>
              <w:t>Summary statistics of the estimated balancing weights (exposures: endocrine disrupting chemicals (EDCs); outcomes: glucocorticosteroids) (HELIX subcohort; 2013-2016).</w:t>
            </w:r>
            <w:bookmarkEnd w:id="12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048"/>
              <w:gridCol w:w="3048"/>
              <w:gridCol w:w="3048"/>
            </w:tblGrid>
            <w:tr>
              <w:trPr>
                <w:tblHeader w:val="true"/>
                <w:cantSplit w:val="true"/>
              </w:trPr>
              <w:tc>
                <w:tcPr>
                  <w:tcW w:w="3048" w:type="dxa"/>
                  <w:tcBorders>
                    <w:top w:val="single" w:sz="16" w:space="0" w:color="D3D3D3"/>
                    <w:left w:val="single" w:sz="6" w:space="0" w:color="D3D3D3"/>
                  </w:tcBorders>
                </w:tcPr>
                <w:p>
                  <w:pPr>
                    <w:pStyle w:val="Normal"/>
                    <w:keepNext w:val="true"/>
                    <w:widowControl w:val="false"/>
                    <w:spacing w:before="0" w:after="60"/>
                    <w:rPr/>
                  </w:pPr>
                  <w:r>
                    <w:rPr/>
                  </w:r>
                  <w:bookmarkStart w:id="126" w:name="supptbl-weights-3"/>
                  <w:bookmarkStart w:id="127" w:name="supptbl-weights-3"/>
                </w:p>
              </w:tc>
              <w:tc>
                <w:tcPr>
                  <w:tcW w:w="304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3048"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304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3048" w:type="dxa"/>
                  <w:tcBorders>
                    <w:bottom w:val="single" w:sz="1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c>
                <w:tcPr>
                  <w:tcW w:w="3048"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N = 976</w:t>
                  </w:r>
                  <w:r>
                    <w:rPr>
                      <w:rFonts w:ascii="Calibri" w:hAnsi="Calibri"/>
                      <w:i/>
                      <w:sz w:val="20"/>
                      <w:vertAlign w:val="superscript"/>
                    </w:rPr>
                    <w:t>a</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(0.54,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0.14, 1.80</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0.19, 1.73</w:t>
                  </w:r>
                </w:p>
              </w:tc>
            </w:tr>
            <w:tr>
              <w:trPr>
                <w:cantSplit w:val="true"/>
              </w:trPr>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(0.56, 1.39)</w:t>
                  </w:r>
                </w:p>
              </w:tc>
              <w:tc>
                <w:tcPr>
                  <w:tcW w:w="304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0.15, 1.78</w:t>
                  </w:r>
                </w:p>
              </w:tc>
            </w:tr>
            <w:tr>
              <w:trPr>
                <w:cantSplit w:val="true"/>
              </w:trPr>
              <w:tc>
                <w:tcPr>
                  <w:tcW w:w="9144" w:type="dxa"/>
                  <w:gridSpan w:val="3"/>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S14: </w:t>
            </w:r>
            <w:r>
              <w:rPr>
                <w:b/>
                <w:bCs/>
              </w:rPr>
              <w:t>Summary statistics of the estimated balancing weights (exposures: glucocorticosteroids; outcome: hit reaction time standard error (HRT-SE)) (HELIX subcohort; 2013-2016).</w:t>
            </w:r>
            <w:bookmarkEnd w:id="127"/>
          </w:p>
        </w:tc>
      </w:tr>
    </w:tbl>
    <w:p>
      <w:pPr>
        <w:pStyle w:val="Heading2"/>
        <w:rPr/>
      </w:pPr>
      <w:r>
        <w:rPr/>
        <w:t>Tables for other results</w:t>
      </w:r>
    </w:p>
    <w:p>
      <w:pPr>
        <w:pStyle w:val="Heading3"/>
        <w:rPr/>
      </w:pPr>
      <w:bookmarkStart w:id="128" w:name="X3feb8d4de640dcb7c28adcb0ef65dd3ddb7cb7d"/>
      <w:r>
        <w:rPr/>
        <w:t>Balancing weights for effect modification: summary statistics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29" w:name="supptbl-weights-1sa"/>
                  <w:bookmarkStart w:id="130" w:name="supptbl-weights-1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710</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587</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710</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0.53, 1.46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(0.82,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0.57, 1.39</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(0.89, 1.15)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(0.96, 1.08)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(0.97, 1.06)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0.91, 1.12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0.82, 1.21</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(0.73, 1.28)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(0.74,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0.41, 1.50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(0.81,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0.67, 1.29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(0.94,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0.81, 1.19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(0.89,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(0.67,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(0.62,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0.93 (0.51,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0.96 (0.52,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0.16, 1.85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(0.62,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0.28, 1.69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(0.71,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(0.69,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0.40, 1.57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(0.69,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0.33, 1.62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(0.60,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(0.63,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(0.52,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(0.50,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(0.76,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0.51, 1.46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(0.84,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0.58, 1.39</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S15: </w:t>
            </w:r>
            <w:r>
              <w:rPr>
                <w:b/>
                <w:bCs/>
              </w:rPr>
              <w:t>Summary statistics of the estimated balancing weights for effect modification (exposures: endocrine disrupting chemicals (EDCs); outcome: hit reaction time standard error (HRT-SE); modifier: sex) (HELIX subcohort; 2013-2016).</w:t>
            </w:r>
            <w:bookmarkEnd w:id="130"/>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tblHeader w:val="true"/>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1" w:name="supptbl-weights-2sa"/>
                  <w:bookmarkStart w:id="132" w:name="supptbl-weights-2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tblHeader w:val="true"/>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OP pesticide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(0.77,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(0.76, 1.21)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DMTP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(0.79, 1.23)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0.56, 1.40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(0.85,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(0.84, 1.18)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0.67, 1.36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DETP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(0.77,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(0.86, 1.17)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0.57, 1.40</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Phenols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(0.88,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(0.94,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0.73, 1.26</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ETPA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 (0.92,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(0.91, 1.12)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0.78, 1.22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(0.87,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0.74, 1.24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(0.71,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(0.75,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0.44, 1.52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BUPA</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1.11)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(0.80, 1.20)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0.64, 1.30</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OXBE</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(0.86, 1.16)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(0.95, 1.09)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0.76, 1.22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TRCS</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(0.92, 1.13)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(0.88, 1.14)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0.73, 1.25</w:t>
                  </w:r>
                </w:p>
              </w:tc>
            </w:tr>
            <w:tr>
              <w:trPr>
                <w:cantSplit w:val="true"/>
              </w:trPr>
              <w:tc>
                <w:tcPr>
                  <w:tcW w:w="9144"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b/>
                      <w:sz w:val="20"/>
                    </w:rPr>
                    <w:t>Phthalate metabolites</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0.95 (0.55, 1.30)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0.31, 1.68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MiBP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(0.46,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0.92 (0.54,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0.15, 1.85</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MnBP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(0.51,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(0.57,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0.21, 1.78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MBzP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0.99 (0.70,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(0.66,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0.38, 1.58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(0.72, 1.29)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(0.61, 1.34)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0.36, 1.58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MEHHP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(0.64, 1.31)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0.30, 1.63</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MEOHP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(0.50,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0.24, 1.68</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MECPP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(0.62, 1.32)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0.98 (0.53,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0.29, 1.67</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oh-MiNP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(0.73, 1.26)</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(0.78,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0.49, 1.44</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oxo-MiNP</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(0.74, 1.27)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1.02 (0.76, 1.24)</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0.47, 1.45</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S16: </w:t>
            </w:r>
            <w:r>
              <w:rPr>
                <w:b/>
                <w:bCs/>
              </w:rPr>
              <w:t>Summary statistics of the estimated balancing weights for effect modification (exposures: endocrine disrupting chemicals (EDCs); outcomes: glucocorticosteroids; modifier: sex) (HELIX subcohort; 2013-2016).</w:t>
            </w:r>
            <w:bookmarkEnd w:id="132"/>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28"/>
              <w:gridCol w:w="1829"/>
              <w:gridCol w:w="1829"/>
              <w:gridCol w:w="1829"/>
              <w:gridCol w:w="1829"/>
            </w:tblGrid>
            <w:tr>
              <w:trPr>
                <w:cantSplit w:val="true"/>
              </w:trPr>
              <w:tc>
                <w:tcPr>
                  <w:tcW w:w="1828" w:type="dxa"/>
                  <w:tcBorders>
                    <w:top w:val="single" w:sz="16" w:space="0" w:color="D3D3D3"/>
                    <w:left w:val="single" w:sz="6" w:space="0" w:color="D3D3D3"/>
                  </w:tcBorders>
                </w:tcPr>
                <w:p>
                  <w:pPr>
                    <w:pStyle w:val="Normal"/>
                    <w:keepNext w:val="true"/>
                    <w:widowControl w:val="false"/>
                    <w:spacing w:before="0" w:after="60"/>
                    <w:rPr/>
                  </w:pPr>
                  <w:r>
                    <w:rPr/>
                  </w:r>
                  <w:bookmarkStart w:id="133" w:name="supptbl-weights-3sa"/>
                  <w:bookmarkStart w:id="134" w:name="supptbl-weights-3sa"/>
                </w:p>
              </w:tc>
              <w:tc>
                <w:tcPr>
                  <w:tcW w:w="1829"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Median (IQR)</w:t>
                  </w:r>
                </w:p>
              </w:tc>
              <w:tc>
                <w:tcPr>
                  <w:tcW w:w="5487" w:type="dxa"/>
                  <w:gridSpan w:val="3"/>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Range</w:t>
                  </w:r>
                </w:p>
              </w:tc>
            </w:tr>
            <w:tr>
              <w:trPr>
                <w:cantSplit w:val="true"/>
              </w:trPr>
              <w:tc>
                <w:tcPr>
                  <w:tcW w:w="1828" w:type="dxa"/>
                  <w:tcBorders>
                    <w:left w:val="single" w:sz="6" w:space="0" w:color="D3D3D3"/>
                    <w:bottom w:val="single" w:sz="16" w:space="0" w:color="D3D3D3"/>
                  </w:tcBorders>
                </w:tcPr>
                <w:p>
                  <w:pPr>
                    <w:pStyle w:val="Normal"/>
                    <w:keepNext w:val="true"/>
                    <w:widowControl w:val="false"/>
                    <w:spacing w:before="0" w:after="60"/>
                    <w:jc w:val="left"/>
                    <w:rPr/>
                  </w:pPr>
                  <w:r>
                    <w:rPr>
                      <w:rFonts w:ascii="Calibri" w:hAnsi="Calibri"/>
                      <w:b/>
                      <w:sz w:val="20"/>
                    </w:rPr>
                    <w:t>Characteristic</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c>
                <w:tcPr>
                  <w:tcW w:w="1829" w:type="dxa"/>
                  <w:tcBorders>
                    <w:bottom w:val="single" w:sz="16" w:space="0" w:color="D3D3D3"/>
                  </w:tcBorders>
                </w:tcPr>
                <w:p>
                  <w:pPr>
                    <w:pStyle w:val="Normal"/>
                    <w:keepNext w:val="true"/>
                    <w:widowControl w:val="false"/>
                    <w:spacing w:before="0" w:after="60"/>
                    <w:jc w:val="center"/>
                    <w:rPr/>
                  </w:pPr>
                  <w:r>
                    <w:rPr>
                      <w:rFonts w:ascii="Calibri" w:hAnsi="Calibri"/>
                      <w:b/>
                      <w:sz w:val="20"/>
                    </w:rPr>
                    <w:t>females</w:t>
                  </w:r>
                  <w:r>
                    <w:rPr>
                      <w:rFonts w:ascii="Calibri" w:hAnsi="Calibri"/>
                      <w:sz w:val="20"/>
                    </w:rPr>
                    <w:t>, N = 434</w:t>
                  </w:r>
                  <w:r>
                    <w:rPr>
                      <w:rFonts w:ascii="Calibri" w:hAnsi="Calibri"/>
                      <w:i/>
                      <w:sz w:val="20"/>
                      <w:vertAlign w:val="superscript"/>
                    </w:rPr>
                    <w:t>a</w:t>
                  </w:r>
                </w:p>
              </w:tc>
              <w:tc>
                <w:tcPr>
                  <w:tcW w:w="1829" w:type="dxa"/>
                  <w:tcBorders>
                    <w:bottom w:val="single" w:sz="16" w:space="0" w:color="D3D3D3"/>
                    <w:right w:val="single" w:sz="6" w:space="0" w:color="D3D3D3"/>
                  </w:tcBorders>
                </w:tcPr>
                <w:p>
                  <w:pPr>
                    <w:pStyle w:val="Normal"/>
                    <w:keepNext w:val="true"/>
                    <w:widowControl w:val="false"/>
                    <w:spacing w:before="0" w:after="60"/>
                    <w:jc w:val="center"/>
                    <w:rPr/>
                  </w:pPr>
                  <w:r>
                    <w:rPr>
                      <w:rFonts w:ascii="Calibri" w:hAnsi="Calibri"/>
                      <w:b/>
                      <w:sz w:val="20"/>
                    </w:rPr>
                    <w:t>males</w:t>
                  </w:r>
                  <w:r>
                    <w:rPr>
                      <w:rFonts w:ascii="Calibri" w:hAnsi="Calibri"/>
                      <w:sz w:val="20"/>
                    </w:rPr>
                    <w:t>, N = 542</w:t>
                  </w:r>
                  <w:r>
                    <w:rPr>
                      <w:rFonts w:ascii="Calibri" w:hAnsi="Calibri"/>
                      <w:i/>
                      <w:sz w:val="20"/>
                      <w:vertAlign w:val="superscript"/>
                    </w:rPr>
                    <w:t>a</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cortisol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0.97 (0.57, 1.41)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1.01 (0.59, 1.35)</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0.24, 1.72</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cortisone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(0.61, 1.40)</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(0.59, 1.38)</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0.26, 1.69</w:t>
                  </w:r>
                </w:p>
              </w:tc>
            </w:tr>
            <w:tr>
              <w:trPr>
                <w:cantSplit w:val="true"/>
              </w:trPr>
              <w:tc>
                <w:tcPr>
                  <w:tcW w:w="182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corticosterone production</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1.00 (0.60, 1.39)</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1.03 (0.56, 1.37)</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c>
                <w:tcPr>
                  <w:tcW w:w="182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0.23, 1.71</w:t>
                  </w:r>
                </w:p>
              </w:tc>
            </w:tr>
            <w:tr>
              <w:trPr>
                <w:cantSplit w:val="true"/>
              </w:trPr>
              <w:tc>
                <w:tcPr>
                  <w:tcW w:w="9144" w:type="dxa"/>
                  <w:gridSpan w:val="5"/>
                  <w:tcBorders/>
                </w:tcPr>
                <w:p>
                  <w:pPr>
                    <w:pStyle w:val="Normal"/>
                    <w:keepNext w:val="true"/>
                    <w:widowControl w:val="false"/>
                    <w:spacing w:before="0" w:after="60"/>
                    <w:rPr/>
                  </w:pPr>
                  <w:r>
                    <w:rPr>
                      <w:rFonts w:ascii="Calibri" w:hAnsi="Calibri"/>
                      <w:i/>
                      <w:sz w:val="20"/>
                      <w:vertAlign w:val="superscript"/>
                    </w:rPr>
                    <w:t>a</w:t>
                  </w:r>
                  <w:r>
                    <w:rPr>
                      <w:rFonts w:ascii="Calibri" w:hAnsi="Calibri"/>
                      <w:sz w:val="20"/>
                    </w:rPr>
                    <w:t>Truncated weights.</w:t>
                  </w:r>
                </w:p>
              </w:tc>
            </w:tr>
          </w:tbl>
          <w:p>
            <w:pPr>
              <w:pStyle w:val="ImageCaption"/>
              <w:widowControl w:val="false"/>
              <w:spacing w:before="200" w:after="120"/>
              <w:jc w:val="left"/>
              <w:rPr/>
            </w:pPr>
            <w:r>
              <w:rPr/>
              <w:t xml:space="preserve">Table S17: </w:t>
            </w:r>
            <w:r>
              <w:rPr>
                <w:b/>
                <w:bCs/>
              </w:rPr>
              <w:t>Summary statistics of the estimated balancing weights for effect modification (exposures: glucocorticosteroids; outcome: hit reaction time standard error (HRT-SE); modifier: sex) (HELIX subcohort; 2013-2016).</w:t>
            </w:r>
            <w:bookmarkEnd w:id="104"/>
            <w:bookmarkEnd w:id="128"/>
            <w:bookmarkEnd w:id="134"/>
          </w:p>
        </w:tc>
      </w:tr>
    </w:tbl>
    <w:p>
      <w:pPr>
        <w:pStyle w:val="Heading1"/>
        <w:rPr/>
      </w:pPr>
      <w:r>
        <w:rPr/>
        <w:t>Supplementary figures</w:t>
      </w:r>
    </w:p>
    <w:p>
      <w:pPr>
        <w:pStyle w:val="Heading2"/>
        <w:rPr/>
      </w:pPr>
      <w:bookmarkStart w:id="135" w:name="figures-for-descriptive-data"/>
      <w:r>
        <w:rPr/>
        <w:t>Figures for descriptive data</w:t>
      </w:r>
    </w:p>
    <w:p>
      <w:pPr>
        <w:pStyle w:val="Heading3"/>
        <w:rPr/>
      </w:pPr>
      <w:bookmarkStart w:id="136" w:name="study-populations-2"/>
      <w:r>
        <w:rPr/>
        <w:t>Study populations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137" w:name="suppfig-flow-pop"/>
            <w:bookmarkStart w:id="138" w:name="suppfig-flow-pop"/>
          </w:p>
          <w:p>
            <w:pPr>
              <w:pStyle w:val="Normal"/>
              <w:widowControl/>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drawing>
                <wp:inline distT="0" distB="0" distL="0" distR="0">
                  <wp:extent cx="5334000" cy="3346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7"/>
                          <a:stretch>
                            <a:fillRect/>
                          </a:stretch>
                        </pic:blipFill>
                        <pic:spPr bwMode="auto">
                          <a:xfrm>
                            <a:off x="0" y="0"/>
                            <a:ext cx="5334000" cy="3346450"/>
                          </a:xfrm>
                          <a:prstGeom prst="rect">
                            <a:avLst/>
                          </a:prstGeom>
                        </pic:spPr>
                      </pic:pic>
                    </a:graphicData>
                  </a:graphic>
                </wp:inline>
              </w:drawing>
            </w:r>
          </w:p>
          <w:p>
            <w:pPr>
              <w:pStyle w:val="Normal"/>
              <w:widowControl/>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r>
          </w:p>
          <w:p>
            <w:pPr>
              <w:pStyle w:val="ImageCaption"/>
              <w:widowControl/>
              <w:spacing w:before="200" w:after="120"/>
              <w:jc w:val="left"/>
              <w:rPr>
                <w:rFonts w:ascii="Cambria" w:hAnsi="Cambria" w:eastAsia="Cambria" w:cs=""/>
                <w:kern w:val="0"/>
                <w:sz w:val="24"/>
                <w:szCs w:val="24"/>
                <w:lang w:val="en-US" w:eastAsia="en-US" w:bidi="ar-SA"/>
              </w:rPr>
            </w:pPr>
            <w:bookmarkStart w:id="139" w:name="study-populations-2"/>
            <w:bookmarkStart w:id="140" w:name="suppfig-flow-pop"/>
            <w:r>
              <w:rPr>
                <w:rFonts w:eastAsia="Cambria" w:cs=""/>
                <w:kern w:val="0"/>
                <w:sz w:val="24"/>
                <w:szCs w:val="24"/>
                <w:lang w:val="en-US" w:eastAsia="en-US" w:bidi="ar-SA"/>
              </w:rPr>
              <w:t>Figure S1: Flowchart describing the sample size for each research question.</w:t>
            </w:r>
            <w:bookmarkEnd w:id="139"/>
            <w:bookmarkEnd w:id="140"/>
          </w:p>
        </w:tc>
      </w:tr>
    </w:tbl>
    <w:p>
      <w:pPr>
        <w:pStyle w:val="Heading3"/>
        <w:rPr/>
      </w:pPr>
      <w:r>
        <w:rPr/>
        <w:t>Description of endocrine disruptors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1" w:name="suppfig-desc-chems"/>
            <w:r>
              <w:rPr>
                <w:rFonts w:eastAsia="Cambria" w:cs=""/>
                <w:kern w:val="0"/>
                <w:sz w:val="24"/>
                <w:szCs w:val="24"/>
                <w:lang w:val="en-US" w:eastAsia="en-US" w:bidi="ar-SA"/>
              </w:rPr>
              <w:drawing>
                <wp:inline distT="0" distB="0" distL="0" distR="0">
                  <wp:extent cx="5334000" cy="6223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8"/>
                          <a:stretch>
                            <a:fillRect/>
                          </a:stretch>
                        </pic:blipFill>
                        <pic:spPr bwMode="auto">
                          <a:xfrm>
                            <a:off x="0" y="0"/>
                            <a:ext cx="5334000" cy="6223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Figure S2: </w:t>
            </w:r>
            <w:r>
              <w:rPr>
                <w:rFonts w:eastAsia="Cambria" w:cs=""/>
                <w:b/>
                <w:bCs/>
                <w:kern w:val="0"/>
                <w:sz w:val="24"/>
                <w:szCs w:val="24"/>
                <w:lang w:val="en-US" w:eastAsia="en-US" w:bidi="ar-SA"/>
              </w:rPr>
              <w:t>Measurement classification of endocrine disrupting chemicals (EDCs), by cohort (HELIX subcohort; 2013-2016).</w:t>
            </w:r>
            <w:r>
              <w:rPr>
                <w:rFonts w:eastAsia="Cambria" w:cs=""/>
                <w:kern w:val="0"/>
                <w:sz w:val="24"/>
                <w:szCs w:val="24"/>
                <w:lang w:val="en-US" w:eastAsia="en-US" w:bidi="ar-SA"/>
              </w:rPr>
              <w:t xml:space="preserve"> Coding: 1, quantifiable; 2, &lt;LOD; 3, interference or out of range; 4. not analysed.</w:t>
            </w:r>
            <w:bookmarkEnd w:id="141"/>
          </w:p>
        </w:tc>
      </w:tr>
    </w:tbl>
    <w:p>
      <w:pPr>
        <w:pStyle w:val="Heading3"/>
        <w:rPr/>
      </w:pPr>
      <w:r>
        <w:rPr/>
        <w:t>Description of glucocorticosteroids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2" w:name="suppfig-desc-mets"/>
            <w:r>
              <w:rPr>
                <w:rFonts w:eastAsia="Cambria" w:cs=""/>
                <w:kern w:val="0"/>
                <w:sz w:val="24"/>
                <w:szCs w:val="24"/>
                <w:lang w:val="en-US" w:eastAsia="en-US" w:bidi="ar-SA"/>
              </w:rPr>
              <w:drawing>
                <wp:inline distT="0" distB="0" distL="0" distR="0">
                  <wp:extent cx="5334000" cy="6223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9"/>
                          <a:stretch>
                            <a:fillRect/>
                          </a:stretch>
                        </pic:blipFill>
                        <pic:spPr bwMode="auto">
                          <a:xfrm>
                            <a:off x="0" y="0"/>
                            <a:ext cx="5334000" cy="6223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Figure S3: </w:t>
            </w:r>
            <w:r>
              <w:rPr>
                <w:rFonts w:eastAsia="Cambria" w:cs=""/>
                <w:b/>
                <w:bCs/>
                <w:kern w:val="0"/>
                <w:sz w:val="24"/>
                <w:szCs w:val="24"/>
                <w:lang w:val="en-US" w:eastAsia="en-US" w:bidi="ar-SA"/>
              </w:rPr>
              <w:t>Measurement classification of the glucocorticosteroids, by cohort (HELIX subcohort; 2013-2016).</w:t>
            </w:r>
            <w:r>
              <w:rPr>
                <w:rFonts w:eastAsia="Cambria" w:cs=""/>
                <w:kern w:val="0"/>
                <w:sz w:val="24"/>
                <w:szCs w:val="24"/>
                <w:lang w:val="en-US" w:eastAsia="en-US" w:bidi="ar-SA"/>
              </w:rPr>
              <w:t xml:space="preserve"> Coding: 1, quantifiable; 2, &lt;LOQ; 3, interference or out of range; 4, not detected.</w:t>
            </w:r>
            <w:bookmarkEnd w:id="135"/>
            <w:bookmarkEnd w:id="142"/>
          </w:p>
        </w:tc>
      </w:tr>
    </w:tbl>
    <w:p>
      <w:pPr>
        <w:pStyle w:val="Heading2"/>
        <w:rPr/>
      </w:pPr>
      <w:r>
        <w:rPr/>
        <w:t>Figures for other results</w:t>
      </w:r>
    </w:p>
    <w:p>
      <w:pPr>
        <w:pStyle w:val="Heading3"/>
        <w:rPr/>
      </w:pPr>
      <w:bookmarkStart w:id="143" w:name="X0effc2a5a10272e84becf53856373ad8fc9d66f"/>
      <w:r>
        <w:rPr/>
        <w:t>Marginal contrasts for effect modification</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4" w:name="suppfig-marginal-1sa"/>
            <w:r>
              <w:rPr>
                <w:rFonts w:eastAsia="Cambria" w:cs=""/>
                <w:kern w:val="0"/>
                <w:sz w:val="24"/>
                <w:szCs w:val="24"/>
                <w:lang w:val="en-US" w:eastAsia="en-US" w:bidi="ar-SA"/>
              </w:rPr>
              <w:drawing>
                <wp:inline distT="0" distB="0" distL="0" distR="0">
                  <wp:extent cx="5334000" cy="6223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0"/>
                          <a:stretch>
                            <a:fillRect/>
                          </a:stretch>
                        </pic:blipFill>
                        <pic:spPr bwMode="auto">
                          <a:xfrm>
                            <a:off x="0" y="0"/>
                            <a:ext cx="5334000" cy="6223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S4: </w:t>
            </w:r>
            <w:r>
              <w:rPr>
                <w:rFonts w:eastAsia="Cambria" w:cs=""/>
                <w:b/>
                <w:bCs/>
                <w:kern w:val="0"/>
                <w:sz w:val="24"/>
                <w:szCs w:val="24"/>
                <w:lang w:val="en-US" w:eastAsia="en-US" w:bidi="ar-SA"/>
              </w:rPr>
              <w:t>Marginal contrasts on the logarithmic scale for effect modification by sex of a increase from the 10th to the 90th percentile of the endocrine disrupting chemicals (EDCs) on hit reaction time standard error (HRT-SE) expressed in ms (HELIX subcohort; 2013-2016).</w:t>
            </w:r>
            <w:r>
              <w:rPr>
                <w:rFonts w:eastAsia="Cambria" w:cs=""/>
                <w:kern w:val="0"/>
                <w:sz w:val="24"/>
                <w:szCs w:val="24"/>
                <w:lang w:val="en-US" w:eastAsia="en-US" w:bidi="ar-SA"/>
              </w:rPr>
              <w:t xml:space="preserve"> Circles and triangles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144"/>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5" w:name="suppfig-marginal-2sa"/>
            <w:r>
              <w:rPr>
                <w:rFonts w:eastAsia="Cambria" w:cs=""/>
                <w:kern w:val="0"/>
                <w:sz w:val="24"/>
                <w:szCs w:val="24"/>
                <w:lang w:val="en-US" w:eastAsia="en-US" w:bidi="ar-SA"/>
              </w:rPr>
              <w:drawing>
                <wp:inline distT="0" distB="0" distL="0" distR="0">
                  <wp:extent cx="5334000" cy="7112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1"/>
                          <a:stretch>
                            <a:fillRect/>
                          </a:stretch>
                        </pic:blipFill>
                        <pic:spPr bwMode="auto">
                          <a:xfrm>
                            <a:off x="0" y="0"/>
                            <a:ext cx="5334000" cy="7112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S5: </w:t>
            </w:r>
            <w:r>
              <w:rPr>
                <w:rFonts w:eastAsia="Cambria" w:cs=""/>
                <w:b/>
                <w:bCs/>
                <w:kern w:val="0"/>
                <w:sz w:val="24"/>
                <w:szCs w:val="24"/>
                <w:lang w:val="en-US" w:eastAsia="en-US" w:bidi="ar-SA"/>
              </w:rPr>
              <w:t>Marginal contrasts on the logarithmic scale for effect modification by sex of a increase from the 10th to the 90th percentile of the endocrine disrupting chemicals (EDCs) on the glucocorticosteroids expressed in ng/ml (HELIX subcohort; 2013-2016).</w:t>
            </w:r>
            <w:r>
              <w:rPr>
                <w:rFonts w:eastAsia="Cambria" w:cs=""/>
                <w:kern w:val="0"/>
                <w:sz w:val="24"/>
                <w:szCs w:val="24"/>
                <w:lang w:val="en-US" w:eastAsia="en-US" w:bidi="ar-SA"/>
              </w:rPr>
              <w:t xml:space="preserve"> Circles and triangles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w:t>
            </w:r>
            <w:bookmarkEnd w:id="145"/>
          </w:p>
        </w:tc>
      </w:tr>
    </w:tbl>
    <w:p>
      <w:pPr>
        <w:pStyle w:val="TextBody"/>
        <w:rPr/>
      </w:pPr>
      <w:r>
        <w:rPr/>
        <w:t xml:space="preserve"> </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46" w:name="suppfig-marginal-3sa"/>
            <w:r>
              <w:rPr>
                <w:rFonts w:eastAsia="Cambria" w:cs=""/>
                <w:kern w:val="0"/>
                <w:sz w:val="24"/>
                <w:szCs w:val="24"/>
                <w:lang w:val="en-US" w:eastAsia="en-US" w:bidi="ar-SA"/>
              </w:rPr>
              <w:drawing>
                <wp:inline distT="0" distB="0" distL="0" distR="0">
                  <wp:extent cx="5334000" cy="4445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62"/>
                          <a:stretch>
                            <a:fillRect/>
                          </a:stretch>
                        </pic:blipFill>
                        <pic:spPr bwMode="auto">
                          <a:xfrm>
                            <a:off x="0" y="0"/>
                            <a:ext cx="5334000" cy="4445000"/>
                          </a:xfrm>
                          <a:prstGeom prst="rect">
                            <a:avLst/>
                          </a:prstGeom>
                        </pic:spPr>
                      </pic:pic>
                    </a:graphicData>
                  </a:graphic>
                </wp:inline>
              </w:drawing>
            </w:r>
          </w:p>
          <w:p>
            <w:pPr>
              <w:pStyle w:val="ImageCaption"/>
              <w:widowControl/>
              <w:spacing w:before="200" w:after="120"/>
              <w:jc w:val="left"/>
              <w:rPr/>
            </w:pPr>
            <w:r>
              <w:rPr>
                <w:rFonts w:eastAsia="Cambria" w:cs=""/>
                <w:kern w:val="0"/>
                <w:sz w:val="24"/>
                <w:szCs w:val="24"/>
                <w:lang w:val="en-US" w:eastAsia="en-US" w:bidi="ar-SA"/>
              </w:rPr>
              <w:t xml:space="preserve">Figure S6: </w:t>
            </w:r>
            <w:r>
              <w:rPr>
                <w:rFonts w:eastAsia="Cambria" w:cs=""/>
                <w:b/>
                <w:bCs/>
                <w:kern w:val="0"/>
                <w:sz w:val="24"/>
                <w:szCs w:val="24"/>
                <w:lang w:val="en-US" w:eastAsia="en-US" w:bidi="ar-SA"/>
              </w:rPr>
              <w:t>Marginal contrasts on the logarithmic scale for effect modification by sex of a increase from the 10th to the 90th percentile of the glucocorticosteroids on hit reaction time standard error (HRT-SE) expressed in ms (HELIX subcohort; 2013-2016).</w:t>
            </w:r>
            <w:r>
              <w:rPr>
                <w:rFonts w:eastAsia="Cambria" w:cs=""/>
                <w:kern w:val="0"/>
                <w:sz w:val="24"/>
                <w:szCs w:val="24"/>
                <w:lang w:val="en-US" w:eastAsia="en-US" w:bidi="ar-SA"/>
              </w:rPr>
              <w:t xml:space="preserve"> Circles and triangles indicate effect estimates. Solid lines indicate the </w:t>
            </w:r>
            <w:r>
              <w:rPr>
                <w:rFonts w:eastAsia="Cambria" w:cs=""/>
                <w:kern w:val="0"/>
                <w:sz w:val="24"/>
                <w:szCs w:val="24"/>
                <w:lang w:val="en-US" w:eastAsia="en-US" w:bidi="ar-SA"/>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Cambria" w:cs=""/>
                <w:kern w:val="0"/>
                <w:sz w:val="24"/>
                <w:szCs w:val="24"/>
                <w:lang w:val="en-US" w:eastAsia="en-US" w:bidi="ar-SA"/>
              </w:rPr>
              <w:t xml:space="preserve"> CI. The size of the circles represents the </w:t>
            </w:r>
            <w:r>
              <w:rPr>
                <w:rFonts w:eastAsia="Cambria" w:cs=""/>
                <w:i/>
                <w:iCs/>
                <w:kern w:val="0"/>
                <w:sz w:val="24"/>
                <w:szCs w:val="24"/>
                <w:lang w:val="en-US" w:eastAsia="en-US" w:bidi="ar-SA"/>
              </w:rPr>
              <w:t>S</w:t>
            </w:r>
            <w:r>
              <w:rPr>
                <w:rFonts w:eastAsia="Cambria" w:cs=""/>
                <w:kern w:val="0"/>
                <w:sz w:val="24"/>
                <w:szCs w:val="24"/>
                <w:lang w:val="en-US" w:eastAsia="en-US" w:bidi="ar-SA"/>
              </w:rPr>
              <w:t xml:space="preserve"> value of the effect estimate (</w:t>
            </w:r>
            <w:hyperlink w:anchor="ref-RafiGreenland:2020">
              <w:r>
                <w:rPr>
                  <w:rStyle w:val="InternetLink"/>
                  <w:rFonts w:eastAsia="Cambria" w:cs=""/>
                  <w:kern w:val="0"/>
                  <w:sz w:val="24"/>
                  <w:szCs w:val="24"/>
                  <w:lang w:val="en-US" w:eastAsia="en-US" w:bidi="ar-SA"/>
                </w:rPr>
                <w:t>55</w:t>
              </w:r>
            </w:hyperlink>
            <w:r>
              <w:rPr>
                <w:rFonts w:eastAsia="Cambria" w:cs=""/>
                <w:kern w:val="0"/>
                <w:sz w:val="24"/>
                <w:szCs w:val="24"/>
                <w:lang w:val="en-US" w:eastAsia="en-US" w:bidi="ar-SA"/>
              </w:rPr>
              <w:t>). Abbreviations: cortisone production (cortisone prod.); cortisol production (cortisol prod.); corticost. prod. (corticosterone production).</w:t>
            </w:r>
            <w:bookmarkEnd w:id="143"/>
            <w:bookmarkEnd w:id="146"/>
          </w:p>
        </w:tc>
      </w:tr>
    </w:tbl>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1474-4422(13)70278-3" TargetMode="External"/><Relationship Id="rId3" Type="http://schemas.openxmlformats.org/officeDocument/2006/relationships/hyperlink" Target="https://www.sciencedirect.com/science/article/pii/S0013935121011853" TargetMode="External"/><Relationship Id="rId4" Type="http://schemas.openxmlformats.org/officeDocument/2006/relationships/hyperlink" Target="https://doi.org/10.1542/peds.2009-3058" TargetMode="External"/><Relationship Id="rId5" Type="http://schemas.openxmlformats.org/officeDocument/2006/relationships/hyperlink" Target="https://www.sciencedirect.com/science/article/pii/S0160412015300593" TargetMode="External"/><Relationship Id="rId6" Type="http://schemas.openxmlformats.org/officeDocument/2006/relationships/hyperlink" Target="https://journals.plos.org/plosone/article?id=10.1371/journal.pone.0131910" TargetMode="External"/><Relationship Id="rId7" Type="http://schemas.openxmlformats.org/officeDocument/2006/relationships/hyperlink" Target="https://ehp.niehs.nih.gov/doi/10.1289/ehp.1409472" TargetMode="External"/><Relationship Id="rId8" Type="http://schemas.openxmlformats.org/officeDocument/2006/relationships/hyperlink" Target="https://www.sciencedirect.com/science/article/pii/S0013935116302110" TargetMode="External"/><Relationship Id="rId9" Type="http://schemas.openxmlformats.org/officeDocument/2006/relationships/hyperlink" Target="https://onlinelibrary.wiley.com/doi/abs/10.1111/andr.12183" TargetMode="External"/><Relationship Id="rId10" Type="http://schemas.openxmlformats.org/officeDocument/2006/relationships/hyperlink" Target="https://www.sciencedirect.com/science/article/pii/S0013935116309112" TargetMode="External"/><Relationship Id="rId11" Type="http://schemas.openxmlformats.org/officeDocument/2006/relationships/hyperlink" Target="https://www.sciencedirect.com/science/article/pii/S0013935116312828" TargetMode="External"/><Relationship Id="rId12" Type="http://schemas.openxmlformats.org/officeDocument/2006/relationships/hyperlink" Target="https://www.sciencedirect.com/science/article/pii/S0013935117301044" TargetMode="External"/><Relationship Id="rId13" Type="http://schemas.openxmlformats.org/officeDocument/2006/relationships/hyperlink" Target="https://www.nature.com/articles/nrendo.2016.186" TargetMode="External"/><Relationship Id="rId14" Type="http://schemas.openxmlformats.org/officeDocument/2006/relationships/hyperlink" Target="https://www.sciencedirect.com/science/article/pii/S0269749117327884" TargetMode="External"/><Relationship Id="rId15" Type="http://schemas.openxmlformats.org/officeDocument/2006/relationships/hyperlink" Target="https://www.sciencedirect.com/science/article/pii/S0161813X19300543" TargetMode="External"/><Relationship Id="rId16" Type="http://schemas.openxmlformats.org/officeDocument/2006/relationships/hyperlink" Target="https://doi.org/10.1001/jamanetworkopen.2020.15041" TargetMode="External"/><Relationship Id="rId17" Type="http://schemas.openxmlformats.org/officeDocument/2006/relationships/hyperlink" Target="https://doi.org/10.21203/rs.3.rs-2565914/v1" TargetMode="External"/><Relationship Id="rId18" Type="http://schemas.openxmlformats.org/officeDocument/2006/relationships/hyperlink" Target="https://www.sciencedirect.com/science/article/pii/S0892036223000119" TargetMode="External"/><Relationship Id="rId19" Type="http://schemas.openxmlformats.org/officeDocument/2006/relationships/hyperlink" Target="https://www.sciencedirect.com/science/article/pii/S0048969718301475" TargetMode="External"/><Relationship Id="rId20" Type="http://schemas.openxmlformats.org/officeDocument/2006/relationships/hyperlink" Target="https://www.sciencedirect.com/science/article/pii/S0160412018315113" TargetMode="External"/><Relationship Id="rId21" Type="http://schemas.openxmlformats.org/officeDocument/2006/relationships/hyperlink" Target="https://doi.org/10.1093/aje/kwad198" TargetMode="External"/><Relationship Id="rId22" Type="http://schemas.openxmlformats.org/officeDocument/2006/relationships/hyperlink" Target="https://www.nature.com/articles/nrn2639" TargetMode="External"/><Relationship Id="rId23" Type="http://schemas.openxmlformats.org/officeDocument/2006/relationships/hyperlink" Target="https://doi.org/10.1289/ehp.1307204" TargetMode="External"/><Relationship Id="rId24" Type="http://schemas.openxmlformats.org/officeDocument/2006/relationships/hyperlink" Target="https://doi.org/10.1093/ije/dys112" TargetMode="External"/><Relationship Id="rId25" Type="http://schemas.openxmlformats.org/officeDocument/2006/relationships/hyperlink" Target="https://doi.org/10.1093/ije/dyv151" TargetMode="External"/><Relationship Id="rId26" Type="http://schemas.openxmlformats.org/officeDocument/2006/relationships/hyperlink" Target="https://doi.org/10.1093/ije/dyr054" TargetMode="External"/><Relationship Id="rId27" Type="http://schemas.openxmlformats.org/officeDocument/2006/relationships/hyperlink" Target="https://www.mdpi.com/1660-4601/6/3/1282" TargetMode="External"/><Relationship Id="rId28" Type="http://schemas.openxmlformats.org/officeDocument/2006/relationships/hyperlink" Target="https://doi.org/10.1093/ije/dyl170" TargetMode="External"/><Relationship Id="rId29" Type="http://schemas.openxmlformats.org/officeDocument/2006/relationships/hyperlink" Target="https://doi.org/10.1093/aje/kwp211" TargetMode="External"/><Relationship Id="rId30" Type="http://schemas.openxmlformats.org/officeDocument/2006/relationships/hyperlink" Target="https://bmjopen.bmj.com/content/8/9/e021311" TargetMode="External"/><Relationship Id="rId31" Type="http://schemas.openxmlformats.org/officeDocument/2006/relationships/hyperlink" Target="https://www.sciencedirect.com/science/article/pii/S016041201831225X" TargetMode="External"/><Relationship Id="rId32" Type="http://schemas.openxmlformats.org/officeDocument/2006/relationships/hyperlink" Target="https://www.sciencedirect.com/science/article/pii/S0003267013015791" TargetMode="External"/><Relationship Id="rId33" Type="http://schemas.openxmlformats.org/officeDocument/2006/relationships/hyperlink" Target="https://www.sciencedirect.com/science/article/pii/S0021967320304313" TargetMode="External"/><Relationship Id="rId34" Type="http://schemas.openxmlformats.org/officeDocument/2006/relationships/hyperlink" Target="https://www.sciencedirect.com/science/article/pii/S0028393204000041" TargetMode="External"/><Relationship Id="rId35" Type="http://schemas.openxmlformats.org/officeDocument/2006/relationships/hyperlink" Target="https://journals.plos.org/plosmedicine/article?id=10.1371/journal.pmed.1001792" TargetMode="External"/><Relationship Id="rId36" Type="http://schemas.openxmlformats.org/officeDocument/2006/relationships/hyperlink" Target="https://doi.org/10.1093/ije/dyw341" TargetMode="External"/><Relationship Id="rId37" Type="http://schemas.openxmlformats.org/officeDocument/2006/relationships/hyperlink" Target="https://github.com/r-causal/ggdag" TargetMode="External"/><Relationship Id="rId38" Type="http://schemas.openxmlformats.org/officeDocument/2006/relationships/hyperlink" Target="https://doi.org/10.18637/jss.v074.i07" TargetMode="External"/><Relationship Id="rId39" Type="http://schemas.openxmlformats.org/officeDocument/2006/relationships/hyperlink" Target="https://doi.org/10.21105/joss.03139" TargetMode="External"/><Relationship Id="rId40" Type="http://schemas.openxmlformats.org/officeDocument/2006/relationships/hyperlink" Target="https://doi.org/10.1080/01621459.2023.2213485" TargetMode="External"/><Relationship Id="rId41" Type="http://schemas.openxmlformats.org/officeDocument/2006/relationships/hyperlink" Target="https://marginaleffects.com/" TargetMode="External"/><Relationship Id="rId42" Type="http://schemas.openxmlformats.org/officeDocument/2006/relationships/hyperlink" Target="https://doi.org/10.18637/jss.v011.i10" TargetMode="External"/><Relationship Id="rId43" Type="http://schemas.openxmlformats.org/officeDocument/2006/relationships/hyperlink" Target="https://doi.org/10.18637/jss.v095.i01" TargetMode="External"/><Relationship Id="rId44" Type="http://schemas.openxmlformats.org/officeDocument/2006/relationships/hyperlink" Target="https://www.sciencedirect.com/science/article/pii/S0013935119301379" TargetMode="External"/><Relationship Id="rId45" Type="http://schemas.openxmlformats.org/officeDocument/2006/relationships/hyperlink" Target="https://www.sciencedirect.com/science/article/pii/S0013935119300507" TargetMode="External"/><Relationship Id="rId46" Type="http://schemas.openxmlformats.org/officeDocument/2006/relationships/hyperlink" Target="https://www.sciencedirect.com/science/article/pii/S0013935119304232" TargetMode="External"/><Relationship Id="rId47" Type="http://schemas.openxmlformats.org/officeDocument/2006/relationships/hyperlink" Target="https://www.sciencedirect.com/science/article/pii/S0009279709003950" TargetMode="External"/><Relationship Id="rId48" Type="http://schemas.openxmlformats.org/officeDocument/2006/relationships/hyperlink" Target="https://www.sciencedirect.com/science/article/pii/S0300483X11001466" TargetMode="External"/><Relationship Id="rId49" Type="http://schemas.openxmlformats.org/officeDocument/2006/relationships/hyperlink" Target="https://onlinelibrary.wiley.com/doi/abs/10.1002/jat.1570" TargetMode="External"/><Relationship Id="rId50" Type="http://schemas.openxmlformats.org/officeDocument/2006/relationships/hyperlink" Target="https://www.sciencedirect.com/science/article/pii/S0278691519305496" TargetMode="External"/><Relationship Id="rId51" Type="http://schemas.openxmlformats.org/officeDocument/2006/relationships/hyperlink" Target="https://journals.lww.com/epidem/fulltext/2016/05000/within_subject_pooling_of_biological_samples_to.12.aspx" TargetMode="External"/><Relationship Id="rId52" Type="http://schemas.openxmlformats.org/officeDocument/2006/relationships/hyperlink" Target="http://dx.doi.org/10.1016/j.envint.2018.09.046" TargetMode="External"/><Relationship Id="rId53" Type="http://schemas.openxmlformats.org/officeDocument/2006/relationships/hyperlink" Target="https://doi.org/10.1186/s12874-020-01105-9" TargetMode="External"/><Relationship Id="rId54" Type="http://schemas.openxmlformats.org/officeDocument/2006/relationships/image" Target="media/image1.png"/><Relationship Id="rId55" Type="http://schemas.openxmlformats.org/officeDocument/2006/relationships/image" Target="media/image2.pn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image" Target="media/image9.png"/><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15</Pages>
  <Words>14052</Words>
  <Characters>89674</Characters>
  <CharactersWithSpaces>101096</CharactersWithSpaces>
  <Paragraphs>3287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2024-04-10T10:34:57Z</dcterms:created>
  <dc:creator/>
  <dc:description/>
  <dc:language>en-US</dc:language>
  <cp:lastModifiedBy/>
  <dcterms:modified xsi:type="dcterms:W3CDTF">2024-04-10T10:34:57Z</dcterms:modified>
  <cp:revision>0</cp:revision>
  <dc:subject/>
  <dc:title>Childhood exposure to non-persistent endocrine disruptors, glucocorticosteroids, and attentional function: A study based on the parametric g-formula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