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CCD0C" w14:textId="50258519" w:rsidR="00191044" w:rsidRDefault="007A767A">
      <w:pPr>
        <w:rPr>
          <w:b/>
          <w:bCs/>
          <w:kern w:val="0"/>
        </w:rPr>
      </w:pPr>
      <w:r>
        <w:rPr>
          <w:kern w:val="0"/>
        </w:rPr>
        <w:t xml:space="preserve">Figure 1: </w:t>
      </w:r>
      <w:r>
        <w:rPr>
          <w:b/>
          <w:bCs/>
          <w:kern w:val="0"/>
        </w:rPr>
        <w:t>Simplified directed acyclic graph (DAG) showing endocrine disrupting chemicals (EDCs), hit reaction time standard error (HRT-SE), and the glucocorticosteroids.</w:t>
      </w:r>
    </w:p>
    <w:p w14:paraId="2E4F22CA" w14:textId="77777777" w:rsidR="007A767A" w:rsidRDefault="007A767A">
      <w:pPr>
        <w:rPr>
          <w:b/>
          <w:bCs/>
          <w:kern w:val="0"/>
        </w:rPr>
      </w:pPr>
    </w:p>
    <w:p w14:paraId="0500039E" w14:textId="6C977D0B" w:rsidR="007A767A" w:rsidRDefault="007A767A">
      <w:pPr>
        <w:rPr>
          <w:kern w:val="0"/>
        </w:rPr>
      </w:pPr>
      <w:r>
        <w:rPr>
          <w:kern w:val="0"/>
        </w:rPr>
        <w:t xml:space="preserve">Figure 2: </w:t>
      </w:r>
      <w:r>
        <w:rPr>
          <w:b/>
          <w:bCs/>
          <w:kern w:val="0"/>
        </w:rPr>
        <w:t xml:space="preserve">Marginal contrasts on the logarithmic scale for the effect of an increase from the 10th to the 90th percentile of the endocrine disrupting chemicals (EDCs) on hit reaction time standard error (HRT-SE) expressed in </w:t>
      </w:r>
      <w:proofErr w:type="spellStart"/>
      <w:r>
        <w:rPr>
          <w:b/>
          <w:bCs/>
          <w:kern w:val="0"/>
        </w:rPr>
        <w:t>ms</w:t>
      </w:r>
      <w:proofErr w:type="spellEnd"/>
      <w:r>
        <w:rPr>
          <w:b/>
          <w:bCs/>
          <w:kern w:val="0"/>
        </w:rPr>
        <w:t xml:space="preserve"> (HELIX </w:t>
      </w:r>
      <w:proofErr w:type="spellStart"/>
      <w:r>
        <w:rPr>
          <w:b/>
          <w:bCs/>
          <w:kern w:val="0"/>
        </w:rPr>
        <w:t>subcohort</w:t>
      </w:r>
      <w:proofErr w:type="spellEnd"/>
      <w:r>
        <w:rPr>
          <w:b/>
          <w:bCs/>
          <w:kern w:val="0"/>
        </w:rPr>
        <w:t>; 2013-2016).</w:t>
      </w:r>
      <w:r>
        <w:rPr>
          <w:kern w:val="0"/>
        </w:rPr>
        <w:t xml:space="preserve"> Circles indicate effect estimates. Solid lines indicate the </w:t>
      </w:r>
      <m:oMath>
        <m:r>
          <w:rPr>
            <w:rFonts w:ascii="Cambria Math" w:hAnsi="Cambria Math"/>
          </w:rPr>
          <m:t>95</m:t>
        </m:r>
        <m:r>
          <m:rPr>
            <m:lit/>
            <m:nor/>
          </m:rPr>
          <w:rPr>
            <w:rFonts w:ascii="Cambria Math" w:hAnsi="Cambria Math"/>
          </w:rPr>
          <m:t>%</m:t>
        </m:r>
      </m:oMath>
      <w:r>
        <w:rPr>
          <w:kern w:val="0"/>
        </w:rPr>
        <w:t xml:space="preserve"> CI. The size of the circles represents the </w:t>
      </w:r>
      <w:r>
        <w:rPr>
          <w:i/>
          <w:iCs/>
          <w:kern w:val="0"/>
        </w:rPr>
        <w:t>S</w:t>
      </w:r>
      <w:r>
        <w:rPr>
          <w:kern w:val="0"/>
        </w:rPr>
        <w:t xml:space="preserve"> value of the effect estimate (</w:t>
      </w:r>
      <w:hyperlink w:anchor="ref-RafiGreenland:2020">
        <w:r>
          <w:rPr>
            <w:rStyle w:val="Hyperlink"/>
            <w:kern w:val="0"/>
          </w:rPr>
          <w:t>Rafi and Greenland, 2020</w:t>
        </w:r>
      </w:hyperlink>
      <w:r>
        <w:rPr>
          <w:kern w:val="0"/>
        </w:rPr>
        <w:t>).</w:t>
      </w:r>
    </w:p>
    <w:p w14:paraId="62BD3FB5" w14:textId="77777777" w:rsidR="007A767A" w:rsidRDefault="007A767A">
      <w:pPr>
        <w:rPr>
          <w:kern w:val="0"/>
        </w:rPr>
      </w:pPr>
    </w:p>
    <w:p w14:paraId="2A983846" w14:textId="2CB3AC7F" w:rsidR="007A767A" w:rsidRDefault="007A767A">
      <w:pPr>
        <w:rPr>
          <w:kern w:val="0"/>
        </w:rPr>
      </w:pPr>
      <w:r>
        <w:rPr>
          <w:kern w:val="0"/>
        </w:rPr>
        <w:t xml:space="preserve">Figure 3: </w:t>
      </w:r>
      <w:r>
        <w:rPr>
          <w:b/>
          <w:bCs/>
          <w:kern w:val="0"/>
        </w:rPr>
        <w:t xml:space="preserve">Marginal contrasts on the logarithmic scale for the effect of an increase from the 10th to the 90th percentile of the endocrine disrupting chemicals (EDCs) on the glucocorticosteroids expressed in ng/ml (HELIX </w:t>
      </w:r>
      <w:proofErr w:type="spellStart"/>
      <w:r>
        <w:rPr>
          <w:b/>
          <w:bCs/>
          <w:kern w:val="0"/>
        </w:rPr>
        <w:t>subcohort</w:t>
      </w:r>
      <w:proofErr w:type="spellEnd"/>
      <w:r>
        <w:rPr>
          <w:b/>
          <w:bCs/>
          <w:kern w:val="0"/>
        </w:rPr>
        <w:t>; 2013-2016).</w:t>
      </w:r>
      <w:r>
        <w:rPr>
          <w:kern w:val="0"/>
        </w:rPr>
        <w:t xml:space="preserve"> Circles, triangles, and squares indicate effect estimates. Solid lines indicate the </w:t>
      </w:r>
      <m:oMath>
        <m:r>
          <w:rPr>
            <w:rFonts w:ascii="Cambria Math" w:hAnsi="Cambria Math"/>
          </w:rPr>
          <m:t>95</m:t>
        </m:r>
        <m:r>
          <m:rPr>
            <m:lit/>
            <m:nor/>
          </m:rPr>
          <w:rPr>
            <w:rFonts w:ascii="Cambria Math" w:hAnsi="Cambria Math"/>
          </w:rPr>
          <m:t>%</m:t>
        </m:r>
      </m:oMath>
      <w:r>
        <w:rPr>
          <w:kern w:val="0"/>
        </w:rPr>
        <w:t xml:space="preserve"> CI. The size of the circles represents the </w:t>
      </w:r>
      <w:r>
        <w:rPr>
          <w:i/>
          <w:iCs/>
          <w:kern w:val="0"/>
        </w:rPr>
        <w:t>S</w:t>
      </w:r>
      <w:r>
        <w:rPr>
          <w:kern w:val="0"/>
        </w:rPr>
        <w:t xml:space="preserve"> value of the effect estimate (</w:t>
      </w:r>
      <w:hyperlink w:anchor="ref-RafiGreenland:2020">
        <w:r>
          <w:rPr>
            <w:rStyle w:val="Hyperlink"/>
            <w:kern w:val="0"/>
          </w:rPr>
          <w:t>Rafi and Greenland, 2020</w:t>
        </w:r>
      </w:hyperlink>
      <w:r>
        <w:rPr>
          <w:kern w:val="0"/>
        </w:rPr>
        <w:t>).</w:t>
      </w:r>
    </w:p>
    <w:p w14:paraId="48A07058" w14:textId="77777777" w:rsidR="007A767A" w:rsidRDefault="007A767A">
      <w:pPr>
        <w:rPr>
          <w:kern w:val="0"/>
        </w:rPr>
      </w:pPr>
    </w:p>
    <w:p w14:paraId="59C46A30" w14:textId="5F2AA3FA" w:rsidR="007A767A" w:rsidRDefault="007A767A">
      <w:pPr>
        <w:rPr>
          <w:kern w:val="0"/>
        </w:rPr>
      </w:pPr>
      <w:r>
        <w:rPr>
          <w:kern w:val="0"/>
        </w:rPr>
        <w:t xml:space="preserve">Figure 4: </w:t>
      </w:r>
      <w:r>
        <w:rPr>
          <w:b/>
          <w:bCs/>
          <w:kern w:val="0"/>
        </w:rPr>
        <w:t xml:space="preserve">Marginal contrasts on the logarithmic scale for the effect of an increase from the 10th to the 90th percentile of the glucocorticosteroids on hit reaction time standard error (HRT-SE) expressed in </w:t>
      </w:r>
      <w:proofErr w:type="spellStart"/>
      <w:r>
        <w:rPr>
          <w:b/>
          <w:bCs/>
          <w:kern w:val="0"/>
        </w:rPr>
        <w:t>ms</w:t>
      </w:r>
      <w:proofErr w:type="spellEnd"/>
      <w:r>
        <w:rPr>
          <w:b/>
          <w:bCs/>
          <w:kern w:val="0"/>
        </w:rPr>
        <w:t xml:space="preserve">, overall and by sex (HELIX </w:t>
      </w:r>
      <w:proofErr w:type="spellStart"/>
      <w:r>
        <w:rPr>
          <w:b/>
          <w:bCs/>
          <w:kern w:val="0"/>
        </w:rPr>
        <w:t>subcohort</w:t>
      </w:r>
      <w:proofErr w:type="spellEnd"/>
      <w:r>
        <w:rPr>
          <w:b/>
          <w:bCs/>
          <w:kern w:val="0"/>
        </w:rPr>
        <w:t>; 2013-2016).</w:t>
      </w:r>
      <w:r>
        <w:rPr>
          <w:kern w:val="0"/>
        </w:rPr>
        <w:t xml:space="preserve"> Circles indicate effect estimates. Solid lines indicate the </w:t>
      </w:r>
      <m:oMath>
        <m:r>
          <w:rPr>
            <w:rFonts w:ascii="Cambria Math" w:hAnsi="Cambria Math"/>
          </w:rPr>
          <m:t>95</m:t>
        </m:r>
        <m:r>
          <m:rPr>
            <m:lit/>
            <m:nor/>
          </m:rPr>
          <w:rPr>
            <w:rFonts w:ascii="Cambria Math" w:hAnsi="Cambria Math"/>
          </w:rPr>
          <m:t>%</m:t>
        </m:r>
      </m:oMath>
      <w:r>
        <w:rPr>
          <w:kern w:val="0"/>
        </w:rPr>
        <w:t xml:space="preserve"> CI. The size of the circles represents the </w:t>
      </w:r>
      <w:r>
        <w:rPr>
          <w:i/>
          <w:iCs/>
          <w:kern w:val="0"/>
        </w:rPr>
        <w:t>S</w:t>
      </w:r>
      <w:r>
        <w:rPr>
          <w:kern w:val="0"/>
        </w:rPr>
        <w:t xml:space="preserve"> value of the effect estimate (</w:t>
      </w:r>
      <w:hyperlink w:anchor="ref-RafiGreenland:2020">
        <w:r>
          <w:rPr>
            <w:rStyle w:val="Hyperlink"/>
            <w:kern w:val="0"/>
          </w:rPr>
          <w:t>Rafi and Greenland, 2020</w:t>
        </w:r>
      </w:hyperlink>
      <w:r>
        <w:rPr>
          <w:kern w:val="0"/>
        </w:rPr>
        <w:t xml:space="preserve">). Abbreviations: cortisone production (cortisone prod.); cortisol production (cortisol prod.); </w:t>
      </w:r>
      <w:proofErr w:type="spellStart"/>
      <w:r>
        <w:rPr>
          <w:kern w:val="0"/>
        </w:rPr>
        <w:t>corticost</w:t>
      </w:r>
      <w:proofErr w:type="spellEnd"/>
      <w:r>
        <w:rPr>
          <w:kern w:val="0"/>
        </w:rPr>
        <w:t>. prod. (corticosterone production).</w:t>
      </w:r>
    </w:p>
    <w:p w14:paraId="6FA7EF69" w14:textId="77777777" w:rsidR="007A767A" w:rsidRDefault="007A767A">
      <w:pPr>
        <w:rPr>
          <w:kern w:val="0"/>
        </w:rPr>
      </w:pPr>
    </w:p>
    <w:p w14:paraId="2E89A90C" w14:textId="7227026E" w:rsidR="007A767A" w:rsidRDefault="007A767A">
      <w:pPr>
        <w:rPr>
          <w:kern w:val="0"/>
        </w:rPr>
      </w:pPr>
      <w:bookmarkStart w:id="0" w:name="study-populations-2"/>
      <w:bookmarkStart w:id="1" w:name="suppfig-flow-pop"/>
      <w:r>
        <w:rPr>
          <w:kern w:val="0"/>
        </w:rPr>
        <w:t>Figure S1: Flowchart describing the sample size for each research question.</w:t>
      </w:r>
      <w:bookmarkEnd w:id="0"/>
      <w:bookmarkEnd w:id="1"/>
    </w:p>
    <w:p w14:paraId="3659F40E" w14:textId="77777777" w:rsidR="007A767A" w:rsidRDefault="007A767A">
      <w:pPr>
        <w:rPr>
          <w:kern w:val="0"/>
        </w:rPr>
      </w:pPr>
    </w:p>
    <w:p w14:paraId="46609586" w14:textId="0255107F" w:rsidR="007A767A" w:rsidRDefault="007A767A">
      <w:pPr>
        <w:rPr>
          <w:kern w:val="0"/>
        </w:rPr>
      </w:pPr>
      <w:r>
        <w:rPr>
          <w:kern w:val="0"/>
        </w:rPr>
        <w:t xml:space="preserve">Figure S2: </w:t>
      </w:r>
      <w:r>
        <w:rPr>
          <w:b/>
          <w:bCs/>
          <w:kern w:val="0"/>
        </w:rPr>
        <w:t xml:space="preserve">Measurement classification of endocrine disrupting chemicals (EDCs), by cohort (HELIX </w:t>
      </w:r>
      <w:proofErr w:type="spellStart"/>
      <w:r>
        <w:rPr>
          <w:b/>
          <w:bCs/>
          <w:kern w:val="0"/>
        </w:rPr>
        <w:t>subcohort</w:t>
      </w:r>
      <w:proofErr w:type="spellEnd"/>
      <w:r>
        <w:rPr>
          <w:b/>
          <w:bCs/>
          <w:kern w:val="0"/>
        </w:rPr>
        <w:t>; 2013-2016).</w:t>
      </w:r>
      <w:r>
        <w:rPr>
          <w:kern w:val="0"/>
        </w:rPr>
        <w:t xml:space="preserve"> Coding: 1, quantifiable; 2, &lt;LOD; 3, interference or out of range; 4. not </w:t>
      </w:r>
      <w:proofErr w:type="spellStart"/>
      <w:r>
        <w:rPr>
          <w:kern w:val="0"/>
        </w:rPr>
        <w:t>analysed</w:t>
      </w:r>
      <w:proofErr w:type="spellEnd"/>
      <w:r>
        <w:rPr>
          <w:kern w:val="0"/>
        </w:rPr>
        <w:t>.</w:t>
      </w:r>
    </w:p>
    <w:p w14:paraId="45C1E560" w14:textId="77777777" w:rsidR="007A767A" w:rsidRDefault="007A767A">
      <w:pPr>
        <w:rPr>
          <w:kern w:val="0"/>
        </w:rPr>
      </w:pPr>
    </w:p>
    <w:p w14:paraId="43688C7E" w14:textId="1CE28C9A" w:rsidR="007A767A" w:rsidRDefault="007A767A">
      <w:pPr>
        <w:rPr>
          <w:kern w:val="0"/>
        </w:rPr>
      </w:pPr>
      <w:r>
        <w:rPr>
          <w:kern w:val="0"/>
        </w:rPr>
        <w:t xml:space="preserve">Figure S3: </w:t>
      </w:r>
      <w:r>
        <w:rPr>
          <w:b/>
          <w:bCs/>
          <w:kern w:val="0"/>
        </w:rPr>
        <w:t xml:space="preserve">Measurement classification of the glucocorticosteroids, by cohort (HELIX </w:t>
      </w:r>
      <w:proofErr w:type="spellStart"/>
      <w:r>
        <w:rPr>
          <w:b/>
          <w:bCs/>
          <w:kern w:val="0"/>
        </w:rPr>
        <w:t>subcohort</w:t>
      </w:r>
      <w:proofErr w:type="spellEnd"/>
      <w:r>
        <w:rPr>
          <w:b/>
          <w:bCs/>
          <w:kern w:val="0"/>
        </w:rPr>
        <w:t>; 2013-2016).</w:t>
      </w:r>
      <w:r>
        <w:rPr>
          <w:kern w:val="0"/>
        </w:rPr>
        <w:t xml:space="preserve"> Coding: 1, quantifiable; 2, &lt;LOQ; 3, interference or out of range; 4, not detected.</w:t>
      </w:r>
    </w:p>
    <w:p w14:paraId="0C1695A2" w14:textId="77777777" w:rsidR="007A767A" w:rsidRDefault="007A767A">
      <w:pPr>
        <w:rPr>
          <w:kern w:val="0"/>
        </w:rPr>
      </w:pPr>
    </w:p>
    <w:p w14:paraId="4CCA0FDF" w14:textId="7ECFC496" w:rsidR="007A767A" w:rsidRDefault="007A767A">
      <w:pPr>
        <w:rPr>
          <w:kern w:val="0"/>
        </w:rPr>
      </w:pPr>
      <w:r>
        <w:rPr>
          <w:kern w:val="0"/>
        </w:rPr>
        <w:t xml:space="preserve">Figure S4: </w:t>
      </w:r>
      <w:r>
        <w:rPr>
          <w:b/>
          <w:bCs/>
          <w:kern w:val="0"/>
        </w:rPr>
        <w:t xml:space="preserve">Marginal contrasts on the logarithmic scale for effect modification by sex of </w:t>
      </w:r>
      <w:proofErr w:type="spellStart"/>
      <w:proofErr w:type="gramStart"/>
      <w:r>
        <w:rPr>
          <w:b/>
          <w:bCs/>
          <w:kern w:val="0"/>
        </w:rPr>
        <w:t>a</w:t>
      </w:r>
      <w:proofErr w:type="spellEnd"/>
      <w:proofErr w:type="gramEnd"/>
      <w:r>
        <w:rPr>
          <w:b/>
          <w:bCs/>
          <w:kern w:val="0"/>
        </w:rPr>
        <w:t xml:space="preserve"> increase from the 10th to the 90th percentile of the endocrine disrupting chemicals (EDCs) on hit reaction time standard error (HRT-SE) expressed in </w:t>
      </w:r>
      <w:proofErr w:type="spellStart"/>
      <w:r>
        <w:rPr>
          <w:b/>
          <w:bCs/>
          <w:kern w:val="0"/>
        </w:rPr>
        <w:t>ms</w:t>
      </w:r>
      <w:proofErr w:type="spellEnd"/>
      <w:r>
        <w:rPr>
          <w:b/>
          <w:bCs/>
          <w:kern w:val="0"/>
        </w:rPr>
        <w:t xml:space="preserve"> (HELIX </w:t>
      </w:r>
      <w:proofErr w:type="spellStart"/>
      <w:r>
        <w:rPr>
          <w:b/>
          <w:bCs/>
          <w:kern w:val="0"/>
        </w:rPr>
        <w:t>subcohort</w:t>
      </w:r>
      <w:proofErr w:type="spellEnd"/>
      <w:r>
        <w:rPr>
          <w:b/>
          <w:bCs/>
          <w:kern w:val="0"/>
        </w:rPr>
        <w:t>; 2013-2016).</w:t>
      </w:r>
      <w:r>
        <w:rPr>
          <w:kern w:val="0"/>
        </w:rPr>
        <w:t xml:space="preserve"> Circles and triangles indicate effect estimates. Solid lines indicate the </w:t>
      </w:r>
      <m:oMath>
        <m:r>
          <w:rPr>
            <w:rFonts w:ascii="Cambria Math" w:hAnsi="Cambria Math"/>
          </w:rPr>
          <m:t>95</m:t>
        </m:r>
        <m:r>
          <m:rPr>
            <m:lit/>
            <m:nor/>
          </m:rPr>
          <w:rPr>
            <w:rFonts w:ascii="Cambria Math" w:hAnsi="Cambria Math"/>
          </w:rPr>
          <m:t>%</m:t>
        </m:r>
      </m:oMath>
      <w:r>
        <w:rPr>
          <w:kern w:val="0"/>
        </w:rPr>
        <w:t xml:space="preserve"> CI. The size of the circles represents the </w:t>
      </w:r>
      <w:r>
        <w:rPr>
          <w:i/>
          <w:iCs/>
          <w:kern w:val="0"/>
        </w:rPr>
        <w:t>S</w:t>
      </w:r>
      <w:r>
        <w:rPr>
          <w:kern w:val="0"/>
        </w:rPr>
        <w:t xml:space="preserve"> value of the effect estimate (</w:t>
      </w:r>
      <w:hyperlink w:anchor="ref-RafiGreenland:2020">
        <w:r>
          <w:rPr>
            <w:rStyle w:val="Hyperlink"/>
            <w:kern w:val="0"/>
          </w:rPr>
          <w:t>Rafi and Greenland, 2020</w:t>
        </w:r>
      </w:hyperlink>
      <w:r>
        <w:rPr>
          <w:kern w:val="0"/>
        </w:rPr>
        <w:t>).</w:t>
      </w:r>
    </w:p>
    <w:p w14:paraId="4B86B6CB" w14:textId="77777777" w:rsidR="007A767A" w:rsidRDefault="007A767A">
      <w:pPr>
        <w:rPr>
          <w:kern w:val="0"/>
        </w:rPr>
      </w:pPr>
    </w:p>
    <w:p w14:paraId="7047EE27" w14:textId="128852F2" w:rsidR="007A767A" w:rsidRDefault="007A767A">
      <w:r>
        <w:rPr>
          <w:kern w:val="0"/>
        </w:rPr>
        <w:t xml:space="preserve">Figure S5: </w:t>
      </w:r>
      <w:r>
        <w:rPr>
          <w:b/>
          <w:bCs/>
          <w:kern w:val="0"/>
        </w:rPr>
        <w:t xml:space="preserve">Marginal contrasts on the logarithmic scale for effect modification by sex of </w:t>
      </w:r>
      <w:proofErr w:type="spellStart"/>
      <w:proofErr w:type="gramStart"/>
      <w:r>
        <w:rPr>
          <w:b/>
          <w:bCs/>
          <w:kern w:val="0"/>
        </w:rPr>
        <w:t>a</w:t>
      </w:r>
      <w:proofErr w:type="spellEnd"/>
      <w:proofErr w:type="gramEnd"/>
      <w:r>
        <w:rPr>
          <w:b/>
          <w:bCs/>
          <w:kern w:val="0"/>
        </w:rPr>
        <w:t xml:space="preserve"> increase from the 10th to the 90th percentile of the endocrine disrupting chemicals (EDCs) on the glucocorticosteroids expressed in ng/ml (HELIX </w:t>
      </w:r>
      <w:proofErr w:type="spellStart"/>
      <w:r>
        <w:rPr>
          <w:b/>
          <w:bCs/>
          <w:kern w:val="0"/>
        </w:rPr>
        <w:t>subcohort</w:t>
      </w:r>
      <w:proofErr w:type="spellEnd"/>
      <w:r>
        <w:rPr>
          <w:b/>
          <w:bCs/>
          <w:kern w:val="0"/>
        </w:rPr>
        <w:t>; 2013-2016).</w:t>
      </w:r>
      <w:r>
        <w:rPr>
          <w:kern w:val="0"/>
        </w:rPr>
        <w:t xml:space="preserve"> </w:t>
      </w:r>
      <w:r>
        <w:rPr>
          <w:kern w:val="0"/>
        </w:rPr>
        <w:lastRenderedPageBreak/>
        <w:t xml:space="preserve">Circles and triangles indicate effect estimates. Solid lines indicate the </w:t>
      </w:r>
      <m:oMath>
        <m:r>
          <w:rPr>
            <w:rFonts w:ascii="Cambria Math" w:hAnsi="Cambria Math"/>
          </w:rPr>
          <m:t>95</m:t>
        </m:r>
        <m:r>
          <m:rPr>
            <m:lit/>
            <m:nor/>
          </m:rPr>
          <w:rPr>
            <w:rFonts w:ascii="Cambria Math" w:hAnsi="Cambria Math"/>
          </w:rPr>
          <m:t>%</m:t>
        </m:r>
      </m:oMath>
      <w:r>
        <w:rPr>
          <w:kern w:val="0"/>
        </w:rPr>
        <w:t xml:space="preserve"> CI. The size of the circles represents the </w:t>
      </w:r>
      <w:r>
        <w:rPr>
          <w:i/>
          <w:iCs/>
          <w:kern w:val="0"/>
        </w:rPr>
        <w:t>S</w:t>
      </w:r>
      <w:r>
        <w:rPr>
          <w:kern w:val="0"/>
        </w:rPr>
        <w:t xml:space="preserve"> value of the effect estimate (</w:t>
      </w:r>
      <w:hyperlink w:anchor="ref-RafiGreenland:2020">
        <w:r>
          <w:rPr>
            <w:rStyle w:val="Hyperlink"/>
            <w:kern w:val="0"/>
          </w:rPr>
          <w:t>Rafi and Greenland, 2020</w:t>
        </w:r>
      </w:hyperlink>
      <w:r>
        <w:rPr>
          <w:kern w:val="0"/>
        </w:rPr>
        <w:t>).</w:t>
      </w:r>
    </w:p>
    <w:sectPr w:rsidR="007A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F8"/>
    <w:rsid w:val="00191044"/>
    <w:rsid w:val="005A34F8"/>
    <w:rsid w:val="007A767A"/>
    <w:rsid w:val="00BE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6183B"/>
  <w15:chartTrackingRefBased/>
  <w15:docId w15:val="{237D5E2F-5AB7-CD4F-AF13-E1EBC125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4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4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4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4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4F8"/>
    <w:rPr>
      <w:rFonts w:eastAsiaTheme="majorEastAsia" w:cstheme="majorBidi"/>
      <w:color w:val="272727" w:themeColor="text1" w:themeTint="D8"/>
    </w:rPr>
  </w:style>
  <w:style w:type="paragraph" w:styleId="Title">
    <w:name w:val="Title"/>
    <w:basedOn w:val="Normal"/>
    <w:next w:val="Normal"/>
    <w:link w:val="TitleChar"/>
    <w:uiPriority w:val="10"/>
    <w:qFormat/>
    <w:rsid w:val="00BE34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4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4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4F8"/>
    <w:rPr>
      <w:i/>
      <w:iCs/>
      <w:color w:val="404040" w:themeColor="text1" w:themeTint="BF"/>
    </w:rPr>
  </w:style>
  <w:style w:type="paragraph" w:styleId="ListParagraph">
    <w:name w:val="List Paragraph"/>
    <w:basedOn w:val="Normal"/>
    <w:uiPriority w:val="34"/>
    <w:qFormat/>
    <w:rsid w:val="00BE34F8"/>
    <w:pPr>
      <w:ind w:left="720"/>
      <w:contextualSpacing/>
    </w:pPr>
  </w:style>
  <w:style w:type="character" w:styleId="IntenseEmphasis">
    <w:name w:val="Intense Emphasis"/>
    <w:basedOn w:val="DefaultParagraphFont"/>
    <w:uiPriority w:val="21"/>
    <w:qFormat/>
    <w:rsid w:val="00BE34F8"/>
    <w:rPr>
      <w:i/>
      <w:iCs/>
      <w:color w:val="0F4761" w:themeColor="accent1" w:themeShade="BF"/>
    </w:rPr>
  </w:style>
  <w:style w:type="paragraph" w:styleId="IntenseQuote">
    <w:name w:val="Intense Quote"/>
    <w:basedOn w:val="Normal"/>
    <w:next w:val="Normal"/>
    <w:link w:val="IntenseQuoteChar"/>
    <w:uiPriority w:val="30"/>
    <w:qFormat/>
    <w:rsid w:val="00BE3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4F8"/>
    <w:rPr>
      <w:i/>
      <w:iCs/>
      <w:color w:val="0F4761" w:themeColor="accent1" w:themeShade="BF"/>
    </w:rPr>
  </w:style>
  <w:style w:type="character" w:styleId="IntenseReference">
    <w:name w:val="Intense Reference"/>
    <w:basedOn w:val="DefaultParagraphFont"/>
    <w:uiPriority w:val="32"/>
    <w:qFormat/>
    <w:rsid w:val="00BE34F8"/>
    <w:rPr>
      <w:b/>
      <w:bCs/>
      <w:smallCaps/>
      <w:color w:val="0F4761" w:themeColor="accent1" w:themeShade="BF"/>
      <w:spacing w:val="5"/>
    </w:rPr>
  </w:style>
  <w:style w:type="character" w:styleId="Hyperlink">
    <w:name w:val="Hyperlink"/>
    <w:basedOn w:val="DefaultParagraphFont"/>
    <w:rsid w:val="007A767A"/>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Fabbri</dc:creator>
  <cp:keywords/>
  <dc:description/>
  <cp:lastModifiedBy>Lorenzo Fabbri</cp:lastModifiedBy>
  <cp:revision>2</cp:revision>
  <dcterms:created xsi:type="dcterms:W3CDTF">2024-08-13T06:27:00Z</dcterms:created>
  <dcterms:modified xsi:type="dcterms:W3CDTF">2024-08-13T06:30:00Z</dcterms:modified>
</cp:coreProperties>
</file>