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Endocrine disruptors may perturb the hypothalamic-pituitary-adrenal axis.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We evaluated the effects of childhood exposure to multiple endocrine disruptors.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Phenols and phthalate metabolites were associated with lower attention.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Multiple endocrine disruptors were associated with higher levels of glucocortico</w:t>
      </w:r>
      <w:r>
        <w:rPr/>
        <w:t>ids</w:t>
      </w:r>
      <w:r>
        <w:rPr/>
        <w:t>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Glucocortico</w:t>
      </w:r>
      <w:r>
        <w:rPr/>
        <w:t>ids</w:t>
      </w:r>
      <w:r>
        <w:rPr/>
        <w:t xml:space="preserve"> were associated with lower attention in a sex-specific manner.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52</Words>
  <Characters>349</Characters>
  <CharactersWithSpaces>391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2024-08-12T11:36:02Z</dcterms:created>
  <dc:creator/>
  <dc:description/>
  <dc:language>en-US</dc:language>
  <cp:lastModifiedBy/>
  <dcterms:modified xsi:type="dcterms:W3CDTF">2024-08-12T11:51:55Z</dcterms:modified>
  <cp:revision>1</cp:revision>
  <dc:subject/>
  <dc:title/>
</cp:coreProperties>
</file>