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8.png" ContentType="image/png"/>
  <Override PartName="/word/media/rId213.png" ContentType="image/png"/>
  <Override PartName="/word/media/rId157.png" ContentType="image/png"/>
  <Override PartName="/word/media/rId219.png" ContentType="image/png"/>
  <Override PartName="/word/media/rId161.png" ContentType="image/png"/>
  <Override PartName="/word/media/rId223.png" ContentType="image/png"/>
  <Override PartName="/word/media/rId165.png" ContentType="image/png"/>
  <Override PartName="/word/media/rId227.png" ContentType="image/png"/>
  <Override PartName="/word/media/rId2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attentional</w:t>
      </w:r>
      <w:r>
        <w:t xml:space="preserve"> </w:t>
      </w:r>
      <w:r>
        <w:t xml:space="preserve">function:</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pPr>
        <w:pStyle w:val="FirstParagraph"/>
      </w:pPr>
      <w:r>
        <w:t xml:space="preserve">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in children using data from the Human Early-Life Exposome (HELIX) cohort. We used the parametric g-formula to estimate effects between EDCs, glucocorticosteroids, and hit reaction time standard error (HRT-SE), a measure of inattention from the Attention Network Test (ANT), and tested for possible effect modification by sex. We observed a positive marginal contrast (MC) for exposure increases from the 10th to the 90th percentile for methyl-paraben (MC: 0.042 and</w:t>
      </w:r>
      <w:r>
        <w:t xml:space="preserve"> </w:t>
      </w:r>
      <m:oMath>
        <m:r>
          <m:t>95</m:t>
        </m:r>
        <m:r>
          <m:rPr>
            <m:sty m:val="p"/>
          </m:rPr>
          <m:t>%</m:t>
        </m:r>
      </m:oMath>
      <w:r>
        <w:t xml:space="preserve"> </w:t>
      </w:r>
      <w:r>
        <w:t xml:space="preserve">confidence interval (CI): (0.013, 0.071)), and the phthalate metabolites oxo-MiNP (MC: 0.023 and</w:t>
      </w:r>
      <w:r>
        <w:t xml:space="preserve"> </w:t>
      </w:r>
      <m:oMath>
        <m:r>
          <m:t>95</m:t>
        </m:r>
        <m:r>
          <m:rPr>
            <m:sty m:val="p"/>
          </m:rPr>
          <m:t>%</m:t>
        </m:r>
      </m:oMath>
      <w:r>
        <w:t xml:space="preserve"> </w:t>
      </w:r>
      <w:r>
        <w:t xml:space="preserve">CI: (0.003, 0.044)), oh-MiNP (MC: 0.039 and</w:t>
      </w:r>
      <w:r>
        <w:t xml:space="preserve"> </w:t>
      </w:r>
      <m:oMath>
        <m:r>
          <m:t>95</m:t>
        </m:r>
        <m:r>
          <m:rPr>
            <m:sty m:val="p"/>
          </m:rPr>
          <m:t>%</m:t>
        </m:r>
      </m:oMath>
      <w:r>
        <w:t xml:space="preserve"> </w:t>
      </w:r>
      <w:r>
        <w:t xml:space="preserve">CI: (0.001, 0.076)), and MEHP (MC: 0.036 and</w:t>
      </w:r>
      <w:r>
        <w:t xml:space="preserve"> </w:t>
      </w:r>
      <m:oMath>
        <m:r>
          <m:t>95</m:t>
        </m:r>
        <m:r>
          <m:rPr>
            <m:sty m:val="p"/>
          </m:rPr>
          <m:t>%</m:t>
        </m:r>
      </m:oMath>
      <w:r>
        <w:t xml:space="preserve"> </w:t>
      </w:r>
      <w:r>
        <w:t xml:space="preserve">CI: (0.008, 0.063)), on HRT-SE, indicating lower attention. Several EDCs were also associated with a positive MC for cortisone, cortisol, and corticosterone production. Increased levels of the glucocorticosteroids had no effect on HRT-SE, although we found a possible effect modification by sex. Our results suggest that multiple EDCs might interfere with inattention in children and with the homeostasis of the HPA axis.</w:t>
      </w:r>
    </w:p>
    <w:p>
      <w:r>
        <w:br w:type="page"/>
      </w:r>
    </w:p>
    <w:p>
      <w:pPr>
        <w:pStyle w:val="BodyText"/>
      </w:pPr>
      <w:r>
        <w:t xml:space="preserve">The prevalence of several neurodevelopmental disorders has increased in the pediatric population</w:t>
      </w:r>
      <w:r>
        <w:t xml:space="preserve"> </w:t>
      </w:r>
      <w:r>
        <w:t xml:space="preserve">(</w:t>
      </w:r>
      <w:hyperlink w:anchor="ref-GrandjeanLandrigan:2014">
        <w:r>
          <w:rPr>
            <w:rStyle w:val="Hyperlink"/>
          </w:rPr>
          <w:t xml:space="preserve">1</w:t>
        </w:r>
      </w:hyperlink>
      <w:r>
        <w:t xml:space="preserve">)</w:t>
      </w:r>
      <w:r>
        <w:t xml:space="preserve">, and multiple environmental pollutants may play a role in the increased rates of these disorders</w:t>
      </w:r>
      <w:r>
        <w:t xml:space="preserve"> </w:t>
      </w:r>
      <w:r>
        <w:t xml:space="preserve">(</w:t>
      </w:r>
      <w:hyperlink w:anchor="Xd81cf38a3b251ec377f8aa13b097ea9d0c190e3">
        <w:r>
          <w:rPr>
            <w:rStyle w:val="Hyperlink"/>
          </w:rPr>
          <w:t xml:space="preserve">2</w:t>
        </w:r>
      </w:hyperlink>
      <w:r>
        <w:t xml:space="preserve">)</w:t>
      </w:r>
      <w:r>
        <w:t xml:space="preserve">. Multiple endocrine disrupting chemicals (EDCs), ubiquitous chemicals present in many every-day products and diet, are capable of interfering with the endocrine system, and have shown associations with childhood neurodevelopment and behavior</w:t>
      </w:r>
      <w:r>
        <w:t xml:space="preserve"> </w:t>
      </w:r>
      <w:r>
        <w:t xml:space="preserve">(</w:t>
      </w:r>
      <w:hyperlink w:anchor="ref-BouchardBellingerWright:2010">
        <w:r>
          <w:rPr>
            <w:rStyle w:val="Hyperlink"/>
          </w:rPr>
          <w:t xml:space="preserve">3</w:t>
        </w:r>
      </w:hyperlink>
      <w:r>
        <w:t xml:space="preserve">–</w:t>
      </w:r>
      <w:hyperlink w:anchor="ref-VilmandBeckBilenberg:2023">
        <w:r>
          <w:rPr>
            <w:rStyle w:val="Hyperlink"/>
          </w:rPr>
          <w:t xml:space="preserve">17</w:t>
        </w:r>
      </w:hyperlink>
      <w:r>
        <w:t xml:space="preserve">)</w:t>
      </w:r>
      <w:r>
        <w:t xml:space="preserve">. Although both pregnancy and early infancy are crucial stages of (neuro)development, most of the available literature is focused on the effects of prenatal exposure to EDCs on child neurodevelopment</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One group of EDCs that may have a deleterious effect on neurodevelopment is the organophosphate pesticides (OP pesticides), although the few studies assessing exposure during childhood and through the use of biomarkers suffered from a series of limitations, including a small sample size</w:t>
      </w:r>
      <w:r>
        <w:t xml:space="preserve"> </w:t>
      </w:r>
      <w:r>
        <w:t xml:space="preserve">(</w:t>
      </w:r>
      <w:hyperlink w:anchor="Xd81cf38a3b251ec377f8aa13b097ea9d0c190e3">
        <w:r>
          <w:rPr>
            <w:rStyle w:val="Hyperlink"/>
          </w:rPr>
          <w:t xml:space="preserve">2</w:t>
        </w:r>
      </w:hyperlink>
      <w:r>
        <w:t xml:space="preserve">)</w:t>
      </w:r>
      <w:r>
        <w:t xml:space="preserve">. Exposure to phthalates and their metabolites during childhood and early adolescence has also been associated with several adverse neurodevelopmental outcomes, but these studies were limited to few phthalate metabolites and small study populations</w:t>
      </w:r>
      <w:r>
        <w:t xml:space="preserve"> </w:t>
      </w:r>
      <w:r>
        <w:t xml:space="preserve">(</w:t>
      </w:r>
      <w:hyperlink w:anchor="Xd81cf38a3b251ec377f8aa13b097ea9d0c190e3">
        <w:r>
          <w:rPr>
            <w:rStyle w:val="Hyperlink"/>
          </w:rPr>
          <w:t xml:space="preserve">2</w:t>
        </w:r>
      </w:hyperlink>
      <w:r>
        <w:t xml:space="preserve">)</w:t>
      </w:r>
      <w:r>
        <w:t xml:space="preserve">. The effects of exposure to bisphenol A (BPA) during childhood on cognitive functions are still unclear</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Moreover, little is known about the biological mechanisms of action</w:t>
      </w:r>
      <w:r>
        <w:t xml:space="preserve"> </w:t>
      </w:r>
      <w:r>
        <w:t xml:space="preserve">(</w:t>
      </w:r>
      <w:hyperlink w:anchor="Xd81cf38a3b251ec377f8aa13b097ea9d0c190e3">
        <w:r>
          <w:rPr>
            <w:rStyle w:val="Hyperlink"/>
          </w:rPr>
          <w:t xml:space="preserve">2</w:t>
        </w:r>
      </w:hyperlink>
      <w:r>
        <w:t xml:space="preserve">)</w:t>
      </w:r>
      <w:r>
        <w:t xml:space="preserve">. There is some toxicological evidence, however, that exposure to certain EDCs, specifically phthalates, might interfere with the hypothalamic-pituitary-adrenocortical (HPA) axis and might interact with the glucocorticoid receptor</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 HPA axis, which can be activated by stress, is responsible for the production of glucocorticosteroids. The brain, and its proper functioning, is a potential target, due to the presence of receptors for these hormones</w:t>
      </w:r>
      <w:r>
        <w:t xml:space="preserve"> </w:t>
      </w:r>
      <w:r>
        <w:t xml:space="preserve">(</w:t>
      </w:r>
      <w:hyperlink w:anchor="ref-SunLiJin:2018">
        <w:r>
          <w:rPr>
            <w:rStyle w:val="Hyperlink"/>
          </w:rPr>
          <w:t xml:space="preserve">19</w:t>
        </w:r>
      </w:hyperlink>
      <w:r>
        <w:t xml:space="preserve">,</w:t>
      </w:r>
      <w:hyperlink w:anchor="ref-LupienMcEwenGunnar:2009">
        <w:r>
          <w:rPr>
            <w:rStyle w:val="Hyperlink"/>
          </w:rPr>
          <w:t xml:space="preserve">21</w:t>
        </w:r>
      </w:hyperlink>
      <w:r>
        <w:t xml:space="preserve">)</w:t>
      </w:r>
      <w:r>
        <w:t xml:space="preserve">. Glucocorticosteroids are necessary for brain maturation, although their under- or over-production might interfere with its normal development and ultimately lead to long-term impaired functioning</w:t>
      </w:r>
      <w:r>
        <w:t xml:space="preserve"> </w:t>
      </w:r>
      <w:r>
        <w:t xml:space="preserve">(</w:t>
      </w:r>
      <w:hyperlink w:anchor="ref-SearsLiuLanphear:2023">
        <w:r>
          <w:rPr>
            <w:rStyle w:val="Hyperlink"/>
          </w:rPr>
          <w:t xml:space="preserve">20</w:t>
        </w:r>
      </w:hyperlink>
      <w:r>
        <w:t xml:space="preserve">,</w:t>
      </w:r>
      <w:hyperlink w:anchor="ref-LupienMcEwenGunnar:2009">
        <w:r>
          <w:rPr>
            <w:rStyle w:val="Hyperlink"/>
          </w:rPr>
          <w:t xml:space="preserve">21</w:t>
        </w:r>
      </w:hyperlink>
      <w:r>
        <w:t xml:space="preserve">)</w:t>
      </w:r>
      <w:r>
        <w:t xml:space="preserve">.</w:t>
      </w:r>
    </w:p>
    <w:p>
      <w:pPr>
        <w:pStyle w:val="BodyText"/>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cross-sectional associations between 1) non-persistent EDCs and attentional function, 2) non-persistent EDCs and glucocorticosteroids, and 3) glucocorticosteroids and attentional function, using the parametric g-formula and marginal contrasts (MCs), in children of a large network of cohorts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project aims to characterize early-life exposures and their potential association with endogenous biomarkers and health outcomes</w:t>
      </w:r>
      <w:r>
        <w:t xml:space="preserve"> </w:t>
      </w:r>
      <w:r>
        <w:t xml:space="preserve">(</w:t>
      </w:r>
      <w:hyperlink w:anchor="ref-VrijheidSlamaRobinson:2014">
        <w:r>
          <w:rPr>
            <w:rStyle w:val="Hyperlink"/>
          </w:rPr>
          <w:t xml:space="preserve">22</w:t>
        </w:r>
      </w:hyperlink>
      <w:r>
        <w:t xml:space="preserve">)</w:t>
      </w:r>
      <w:r>
        <w:t xml:space="preserve">. It consists of six existing population-based birth cohort studies across Europe: BiB (Born in Bradford, UK)</w:t>
      </w:r>
      <w:r>
        <w:t xml:space="preserve"> </w:t>
      </w:r>
      <w:r>
        <w:t xml:space="preserve">(</w:t>
      </w:r>
      <w:hyperlink w:anchor="ref-WrightSmallRaynor:2013">
        <w:r>
          <w:rPr>
            <w:rStyle w:val="Hyperlink"/>
          </w:rPr>
          <w:t xml:space="preserve">23</w:t>
        </w:r>
      </w:hyperlink>
      <w:r>
        <w:t xml:space="preserve">)</w:t>
      </w:r>
      <w:r>
        <w:t xml:space="preserve">, EDEN (Study of determinants of pre- and postnatal developmental, France)</w:t>
      </w:r>
      <w:r>
        <w:t xml:space="preserve"> </w:t>
      </w:r>
      <w:r>
        <w:t xml:space="preserve">(</w:t>
      </w:r>
      <w:hyperlink w:anchor="ref-HeudeForhanSlama:2016">
        <w:r>
          <w:rPr>
            <w:rStyle w:val="Hyperlink"/>
          </w:rPr>
          <w:t xml:space="preserve">24</w:t>
        </w:r>
      </w:hyperlink>
      <w:r>
        <w:t xml:space="preserve">)</w:t>
      </w:r>
      <w:r>
        <w:t xml:space="preserve">, INMA (Environment and Childhood, Spain)</w:t>
      </w:r>
      <w:r>
        <w:t xml:space="preserve"> </w:t>
      </w:r>
      <w:r>
        <w:t xml:space="preserve">(</w:t>
      </w:r>
      <w:hyperlink w:anchor="ref-GuxensBallesterEspada:2012">
        <w:r>
          <w:rPr>
            <w:rStyle w:val="Hyperlink"/>
          </w:rPr>
          <w:t xml:space="preserve">25</w:t>
        </w:r>
      </w:hyperlink>
      <w:r>
        <w:t xml:space="preserve">)</w:t>
      </w:r>
      <w:r>
        <w:t xml:space="preserve">, KANC (Kaunas Cohort, Lithuania)</w:t>
      </w:r>
      <w:r>
        <w:t xml:space="preserve"> </w:t>
      </w:r>
      <w:r>
        <w:t xml:space="preserve">(</w:t>
      </w:r>
      <w:hyperlink w:anchor="Xd30c40380c9e99bac70b7fa3b0ada5ae8dec3e4">
        <w:r>
          <w:rPr>
            <w:rStyle w:val="Hyperlink"/>
          </w:rPr>
          <w:t xml:space="preserve">26</w:t>
        </w:r>
      </w:hyperlink>
      <w:r>
        <w:t xml:space="preserve">)</w:t>
      </w:r>
      <w:r>
        <w:t xml:space="preserve">, MoBa (The Norwegian Mother and Child Cohort Study, Norway)</w:t>
      </w:r>
      <w:r>
        <w:t xml:space="preserve"> </w:t>
      </w:r>
      <w:r>
        <w:t xml:space="preserve">(</w:t>
      </w:r>
      <w:hyperlink w:anchor="ref-MagnusIrgensHaug:2006">
        <w:r>
          <w:rPr>
            <w:rStyle w:val="Hyperlink"/>
          </w:rPr>
          <w:t xml:space="preserve">27</w:t>
        </w:r>
      </w:hyperlink>
      <w:r>
        <w:t xml:space="preserve">)</w:t>
      </w:r>
      <w:r>
        <w:t xml:space="preserve">, and Rhea (Mother–Child Cohort in Crete, Greece)</w:t>
      </w:r>
      <w:r>
        <w:t xml:space="preserve"> </w:t>
      </w:r>
      <w:r>
        <w:t xml:space="preserve">(</w:t>
      </w:r>
      <w:hyperlink w:anchor="ref-ChatziPlanaDaraki:2009">
        <w:r>
          <w:rPr>
            <w:rStyle w:val="Hyperlink"/>
          </w:rPr>
          <w:t xml:space="preserve">28</w:t>
        </w:r>
      </w:hyperlink>
      <w:r>
        <w:t xml:space="preserve">)</w:t>
      </w:r>
      <w:r>
        <w:t xml:space="preserve">. The HELIX subcohort of 1,301 mother-child pairs was fully characterized for the external and internal exposome, including exposure and omics biomarkers during childhood</w:t>
      </w:r>
      <w:r>
        <w:t xml:space="preserve"> </w:t>
      </w:r>
      <w:r>
        <w:t xml:space="preserve">(</w:t>
      </w:r>
      <w:hyperlink w:anchor="ref-MaitreBontCasas:2018">
        <w:r>
          <w:rPr>
            <w:rStyle w:val="Hyperlink"/>
          </w:rPr>
          <w:t xml:space="preserve">29</w:t>
        </w:r>
      </w:hyperlink>
      <w:r>
        <w:t xml:space="preserve">)</w:t>
      </w:r>
      <w:r>
        <w:t xml:space="preserve">.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p>
    <w:bookmarkEnd w:id="21"/>
    <w:bookmarkStart w:id="26" w:name="sec-vars"/>
    <w:p>
      <w:pPr>
        <w:pStyle w:val="Heading2"/>
      </w:pPr>
      <w:r>
        <w:t xml:space="preserve">Variables</w:t>
      </w:r>
    </w:p>
    <w:bookmarkStart w:id="22" w:name="sec-edcs"/>
    <w:p>
      <w:pPr>
        <w:pStyle w:val="Heading3"/>
      </w:pPr>
      <w:r>
        <w:t xml:space="preserve">Endocrine disrupting chemicals</w:t>
      </w:r>
    </w:p>
    <w:p>
      <w:pPr>
        <w:pStyle w:val="FirstParagraph"/>
      </w:pPr>
      <w: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Hyperlink"/>
          </w:rPr>
          <w:t xml:space="preserve">Table S1</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The laboratory protocols for the analysis are described elsewhere</w:t>
      </w:r>
      <w:r>
        <w:t xml:space="preserve"> </w:t>
      </w:r>
      <w:r>
        <w:t xml:space="preserve">(</w:t>
      </w:r>
      <w:hyperlink w:anchor="ref-HaugSakhiCequier:2018">
        <w:r>
          <w:rPr>
            <w:rStyle w:val="Hyperlink"/>
          </w:rPr>
          <w:t xml:space="preserve">30</w:t>
        </w:r>
      </w:hyperlink>
      <w:r>
        <w:t xml:space="preserve">)</w:t>
      </w:r>
      <w:r>
        <w:t xml:space="preserve">.</w:t>
      </w:r>
    </w:p>
    <w:bookmarkEnd w:id="22"/>
    <w:bookmarkStart w:id="23" w:name="sec-steroids"/>
    <w:p>
      <w:pPr>
        <w:pStyle w:val="Heading3"/>
      </w:pPr>
      <w:r>
        <w:t xml:space="preserve">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Hyperlink"/>
          </w:rPr>
          <w:t xml:space="preserve">Table S2</w:t>
        </w:r>
      </w:hyperlink>
      <w:r>
        <w:t xml:space="preserve">.</w:t>
      </w:r>
    </w:p>
    <w:p>
      <w:pPr>
        <w:pStyle w:val="BodyText"/>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r>
        <w:t xml:space="preserve"> </w:t>
      </w:r>
      <w:r>
        <w:t xml:space="preserve">(</w:t>
      </w:r>
      <w:hyperlink w:anchor="ref-MarcosRenauCasals:2014">
        <w:r>
          <w:rPr>
            <w:rStyle w:val="Hyperlink"/>
          </w:rPr>
          <w:t xml:space="preserve">31</w:t>
        </w:r>
      </w:hyperlink>
      <w:r>
        <w:t xml:space="preserve">,</w:t>
      </w:r>
      <w:hyperlink w:anchor="ref-Gomez-GomezPozo:2020">
        <w:r>
          <w:rPr>
            <w:rStyle w:val="Hyperlink"/>
          </w:rPr>
          <w:t xml:space="preserve">32</w:t>
        </w:r>
      </w:hyperlink>
      <w:r>
        <w:t xml:space="preserve">)</w:t>
      </w:r>
      <w:r>
        <w:t xml:space="preserve">.</w:t>
      </w:r>
    </w:p>
    <w:p>
      <w:pPr>
        <w:pStyle w:val="BodyText"/>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3"/>
    <w:bookmarkStart w:id="24" w:name="sec-neurodevelopment"/>
    <w:p>
      <w:pPr>
        <w:pStyle w:val="Heading3"/>
      </w:pPr>
      <w:r>
        <w:t xml:space="preserve">Attentional function</w:t>
      </w:r>
    </w:p>
    <w:p>
      <w:pPr>
        <w:pStyle w:val="FirstParagraph"/>
      </w:pPr>
      <w:r>
        <w:t xml:space="preserve">Cognitive and motor function outcomes were assessed with standardized, non-linguistic, and culturally blind computer tests, including the Attention Network Test (ANT)</w:t>
      </w:r>
      <w:r>
        <w:t xml:space="preserve"> </w:t>
      </w:r>
      <w:r>
        <w:t xml:space="preserve">(</w:t>
      </w:r>
      <w:hyperlink w:anchor="ref-RuedaFanMcCandliss:2004">
        <w:r>
          <w:rPr>
            <w:rStyle w:val="Hyperlink"/>
          </w:rPr>
          <w:t xml:space="preserve">33</w:t>
        </w:r>
      </w:hyperlink>
      <w:r>
        <w:t xml:space="preserve">)</w:t>
      </w:r>
      <w:r>
        <w:t xml:space="preserve">, which provides a measure of efficiency of attentional function. The tests were administered in a standardized way, and with minimal interference from the field workers. Further information can be found in</w:t>
      </w:r>
      <w:r>
        <w:t xml:space="preserve"> </w:t>
      </w:r>
      <w:r>
        <w:t xml:space="preserve">(</w:t>
      </w:r>
      <w:hyperlink w:anchor="ref-MaitreBontCasas:2018">
        <w:r>
          <w:rPr>
            <w:rStyle w:val="Hyperlink"/>
          </w:rPr>
          <w:t xml:space="preserve">29</w:t>
        </w:r>
      </w:hyperlink>
      <w:r>
        <w:t xml:space="preserve">)</w:t>
      </w:r>
      <w:r>
        <w:t xml:space="preserve">. The outcome of interest for the present study is the hit reaction time standard error (HRT-SE)</w:t>
      </w:r>
      <w:r>
        <w:t xml:space="preserve"> </w:t>
      </w:r>
      <w:r>
        <w:t xml:space="preserve">(</w:t>
      </w:r>
      <w:hyperlink w:anchor="ref-SunyerEsnaolaAlvarez-Pedrerol:2015">
        <w:r>
          <w:rPr>
            <w:rStyle w:val="Hyperlink"/>
          </w:rPr>
          <w:t xml:space="preserve">34</w:t>
        </w:r>
      </w:hyperlink>
      <w:r>
        <w:t xml:space="preserve">)</w:t>
      </w:r>
      <w:r>
        <w:t xml:space="preserve">, a measure of response speed consistency throughout the test. A high HRT-SE indicates highly variable reaction times, and is considered a measure of inattentiveness.</w:t>
      </w:r>
    </w:p>
    <w:bookmarkEnd w:id="24"/>
    <w:bookmarkStart w:id="25"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w:t>
      </w:r>
      <w:r>
        <w:t xml:space="preserve"> </w:t>
      </w:r>
      <w:r>
        <w:rPr>
          <w:rStyle w:val="VerbatimChar"/>
        </w:rPr>
        <w:t xml:space="preserve">DAGitty</w:t>
      </w:r>
      <w:r>
        <w:t xml:space="preserve"> </w:t>
      </w:r>
      <w:r>
        <w:t xml:space="preserve">(</w:t>
      </w:r>
      <w:hyperlink w:anchor="ref-TextorvanderZanderGilthorpe:2016">
        <w:r>
          <w:rPr>
            <w:rStyle w:val="Hyperlink"/>
          </w:rPr>
          <w:t xml:space="preserve">35</w:t>
        </w:r>
      </w:hyperlink>
      <w:r>
        <w:t xml:space="preserve">)</w:t>
      </w:r>
      <w:r>
        <w:t xml:space="preserve"> </w:t>
      </w:r>
      <w:r>
        <w:t xml:space="preserve">and</w:t>
      </w:r>
      <w:r>
        <w:t xml:space="preserve"> </w:t>
      </w:r>
      <w:r>
        <w:rPr>
          <w:rStyle w:val="VerbatimChar"/>
        </w:rPr>
        <w:t xml:space="preserve">ggdag</w:t>
      </w:r>
      <w:r>
        <w:t xml:space="preserve"> </w:t>
      </w:r>
      <w:r>
        <w:t xml:space="preserve">(</w:t>
      </w:r>
      <w:hyperlink w:anchor="ref-Barrett:2023">
        <w:r>
          <w:rPr>
            <w:rStyle w:val="Hyperlink"/>
          </w:rPr>
          <w:t xml:space="preserve">36</w:t>
        </w:r>
      </w:hyperlink>
      <w:r>
        <w:t xml:space="preserve">)</w:t>
      </w:r>
      <w:r>
        <w:t xml:space="preserve">. The sets of covariates were selected to estimate the total effect of the exposure on the outcome. For effect estimation of the EDCs on glucocorticosteroids and of glucocorticosteroids on HRT-SE, these sets were also sufficient to estimate direct effects. Sample-specific creatinine values were used to adjust for possible dilution effects. Further, each minimal adjustment set was</w:t>
      </w:r>
      <w:r>
        <w:t xml:space="preserve"> </w:t>
      </w:r>
      <w:r>
        <w:rPr>
          <w:i/>
          <w:iCs/>
        </w:rPr>
        <w:t xml:space="preserve">augmented</w:t>
      </w:r>
      <w:r>
        <w:t xml:space="preserve"> </w:t>
      </w:r>
      <w:r>
        <w:t xml:space="preserve">with precision covariates, defined as the set of parents variable of the outcome that are not parents of the exposure. Common confounders were cohort, ethnicity, sex, age, height, weight, and head circumference of the child, consumption of fish, fruit, vegetables, organic food, anf fast food, maternal tobacco consumption, family financial situation and affluence scale (FAS). Models for estimating the effects of EDCs on HRT-SE were further adjusted for child breastfeeding, prenatal maternal active and passive smoking, urine creatinine, child mood and rest before assessment, child neuropsychological diagnosis, marital status, season, and fasting time before assessment. Models for estimating the effects of EDCs on glucocorticosteroids were further adjusted for urine creatinine, season, and fasting time before assessment. Models for estimating the effects of glucocorticosteroids on HRT-SE were further adjusted for child breastfeeding, prenatal maternal active and passive smoking, marital status, EDCs, urine creatinine, child mood and rest before assessment, and child neuropsychological diagnosis. The adjustment sets are provided in the Supplementary Material as text files compatible with DAGitty. Codebooks for the used covariates, by research question, are provided in Supplementary Tables</w:t>
      </w:r>
      <w:r>
        <w:t xml:space="preserve"> </w:t>
      </w:r>
      <w:hyperlink w:anchor="supptbl-codebook-1">
        <w:r>
          <w:rPr>
            <w:rStyle w:val="Hyperlink"/>
          </w:rPr>
          <w:t xml:space="preserve">3</w:t>
        </w:r>
      </w:hyperlink>
      <w:r>
        <w:t xml:space="preserve">, </w:t>
      </w:r>
      <w:hyperlink w:anchor="supptbl-codebook-2">
        <w:r>
          <w:rPr>
            <w:rStyle w:val="Hyperlink"/>
          </w:rPr>
          <w:t xml:space="preserve">4</w:t>
        </w:r>
      </w:hyperlink>
      <w:r>
        <w:t xml:space="preserve">, </w:t>
      </w:r>
      <w:hyperlink w:anchor="supptbl-codebook-3">
        <w:r>
          <w:rPr>
            <w:rStyle w:val="Hyperlink"/>
          </w:rPr>
          <w:t xml:space="preserve">5</w:t>
        </w:r>
      </w:hyperlink>
      <w:r>
        <w:t xml:space="preserve">.</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LOQ, for those metabolites that had less than 30% of missings within each cohort and 20% of missings overall. Information about the lower limit of quantification (LLOQ) for the glucocorticosteroids is provided in</w:t>
      </w:r>
      <w:r>
        <w:t xml:space="preserve"> </w:t>
      </w:r>
      <w:hyperlink w:anchor="supptbl-lloq-mets">
        <w:r>
          <w:rPr>
            <w:rStyle w:val="Hyperlink"/>
          </w:rPr>
          <w:t xml:space="preserve">Table S6</w:t>
        </w:r>
      </w:hyperlink>
      <w:r>
        <w:t xml:space="preserve">. The remaining missing values were imputed using kNN from the</w:t>
      </w:r>
      <w:r>
        <w:t xml:space="preserve"> </w:t>
      </w:r>
      <w:r>
        <w:rPr>
          <w:rStyle w:val="VerbatimChar"/>
        </w:rPr>
        <w:t xml:space="preserve">VIM</w:t>
      </w:r>
      <w:r>
        <w:t xml:space="preserve"> </w:t>
      </w:r>
      <w:r>
        <w:t xml:space="preserve">R package</w:t>
      </w:r>
      <w:r>
        <w:t xml:space="preserve"> </w:t>
      </w:r>
      <w:r>
        <w:t xml:space="preserve">(</w:t>
      </w:r>
      <w:hyperlink w:anchor="ref-KowarikTempl:2016">
        <w:r>
          <w:rPr>
            <w:rStyle w:val="Hyperlink"/>
          </w:rPr>
          <w:t xml:space="preserve">37</w:t>
        </w:r>
      </w:hyperlink>
      <w:r>
        <w:t xml:space="preserve">)</w:t>
      </w:r>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r>
        <w:t xml:space="preserve"> </w:t>
      </w:r>
      <w:r>
        <w:t xml:space="preserve">(</w:t>
      </w:r>
      <w:hyperlink w:anchor="ref-LudeckeBen-ShacharPatil:2021">
        <w:r>
          <w:rPr>
            <w:rStyle w:val="Hyperlink"/>
          </w:rPr>
          <w:t xml:space="preserve">38</w:t>
        </w:r>
      </w:hyperlink>
      <w:r>
        <w:t xml:space="preserve">)</w:t>
      </w:r>
      <w:r>
        <w:t xml:space="preserve">. Values of total cortisol, cortisone, and corticosterone production were expressed in nanograms per millilitre (ng/ml).</w:t>
      </w:r>
    </w:p>
    <w:p>
      <w:pPr>
        <w:pStyle w:val="BodyText"/>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r>
        <w:t xml:space="preserve"> </w:t>
      </w:r>
      <w:r>
        <w:t xml:space="preserve">(</w:t>
      </w:r>
      <w:hyperlink w:anchor="ref-lazar2015imputelcmd">
        <w:r>
          <w:rPr>
            <w:rStyle w:val="Hyperlink"/>
          </w:rPr>
          <w:t xml:space="preserve">39</w:t>
        </w:r>
      </w:hyperlink>
      <w:r>
        <w:t xml:space="preserve">)</w:t>
      </w:r>
      <w:r>
        <w:t xml:space="preserve">. Information about the lower limits of detection can be found in</w:t>
      </w:r>
      <w:r>
        <w:t xml:space="preserve"> </w:t>
      </w:r>
      <w:r>
        <w:t xml:space="preserve">(</w:t>
      </w:r>
      <w:hyperlink w:anchor="ref-HaugSakhiCequier:2018">
        <w:r>
          <w:rPr>
            <w:rStyle w:val="Hyperlink"/>
          </w:rPr>
          <w:t xml:space="preserve">30</w:t>
        </w:r>
      </w:hyperlink>
      <w:r>
        <w:t xml:space="preserve">)</w:t>
      </w:r>
      <w:r>
        <w:t xml:space="preserve">. Chemicals with more than 70% of observations below the LOD were excluded from the present study. Remaining missing values were imputed similarly using kNN. Values of the chemicals were expressed in</w:t>
      </w:r>
      <w:r>
        <w:t xml:space="preserve"> </w:t>
      </w:r>
      <m:oMath>
        <m:r>
          <m:t>μ</m:t>
        </m:r>
      </m:oMath>
      <w:r>
        <w:t xml:space="preserve">grams per litre (</w:t>
      </w:r>
      <m:oMath>
        <m:r>
          <m:t>μ</m:t>
        </m:r>
      </m:oMath>
      <w:r>
        <w:t xml:space="preserve">g/L).</w:t>
      </w:r>
    </w:p>
    <w:p>
      <w:pPr>
        <w:pStyle w:val="BodyText"/>
      </w:pPr>
      <w:r>
        <w:t xml:space="preserve">Missing values in the clinical outcome were imputed similarly using kNN. We natural log-transformed these to improve model fit, assessed with posterior predictive checks. Values of the clinical outcome were expressed in milliseconds (ms).</w:t>
      </w:r>
    </w:p>
    <w:p>
      <w:pPr>
        <w:pStyle w:val="BodyText"/>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 (g/L).</w:t>
      </w:r>
    </w:p>
    <w:bookmarkEnd w:id="27"/>
    <w:bookmarkStart w:id="28" w:name="sec-weights-est"/>
    <w:p>
      <w:pPr>
        <w:pStyle w:val="Heading3"/>
      </w:pPr>
      <w:r>
        <w:t xml:space="preserve">Estimation of balancing weights</w:t>
      </w:r>
    </w:p>
    <w:p>
      <w:pPr>
        <w:pStyle w:val="FirstParagraph"/>
      </w:pPr>
      <w:r>
        <w:t xml:space="preserve">To reduce the effect of measured confounders on the exposure-outcome association, stabilized balancing weights were estimated using the energy method available in the</w:t>
      </w:r>
      <w:r>
        <w:t xml:space="preserve"> </w:t>
      </w:r>
      <w:r>
        <w:rPr>
          <w:rStyle w:val="VerbatimChar"/>
        </w:rPr>
        <w:t xml:space="preserve">WeightIt</w:t>
      </w:r>
      <w:r>
        <w:t xml:space="preserve"> </w:t>
      </w:r>
      <w:r>
        <w:t xml:space="preserve">R package</w:t>
      </w:r>
      <w:r>
        <w:t xml:space="preserve"> </w:t>
      </w:r>
      <w:r>
        <w:t xml:space="preserve">(</w:t>
      </w:r>
      <w:hyperlink w:anchor="ref-Greifer:2023">
        <w:r>
          <w:rPr>
            <w:rStyle w:val="Hyperlink"/>
          </w:rPr>
          <w:t xml:space="preserve">40</w:t>
        </w:r>
      </w:hyperlink>
      <w:r>
        <w:t xml:space="preserve">)</w:t>
      </w:r>
      <w:r>
        <w:t xml:space="preserve">. This method estimates weights by minimizing an energy statistic related to covariate balance</w:t>
      </w:r>
      <w:r>
        <w:t xml:space="preserve"> </w:t>
      </w:r>
      <w:r>
        <w:t xml:space="preserve">(</w:t>
      </w:r>
      <w:hyperlink w:anchor="ref-HulingGreiferChen:2023">
        <w:r>
          <w:rPr>
            <w:rStyle w:val="Hyperlink"/>
          </w:rPr>
          <w:t xml:space="preserve">41</w:t>
        </w:r>
      </w:hyperlink>
      <w:r>
        <w:t xml:space="preserve">)</w:t>
      </w:r>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r>
        <w:t xml:space="preserve"> </w:t>
      </w:r>
      <w:r>
        <w:t xml:space="preserve">(</w:t>
      </w:r>
      <w:hyperlink w:anchor="ref-Greifer:2023a">
        <w:r>
          <w:rPr>
            <w:rStyle w:val="Hyperlink"/>
          </w:rPr>
          <w:t xml:space="preserve">42</w:t>
        </w:r>
      </w:hyperlink>
      <w:r>
        <w:t xml:space="preserve">)</w:t>
      </w:r>
      <w:r>
        <w:t xml:space="preserve">. Specifically, we used</w:t>
      </w:r>
      <w:r>
        <w:t xml:space="preserve"> </w:t>
      </w:r>
      <w:r>
        <w:rPr>
          <w:i/>
          <w:iCs/>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MCs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 was thus specified as the difference in the expected counterfactual outcomes under the shifted exposure levels</w:t>
      </w:r>
      <w:r>
        <w:t xml:space="preserve"> </w:t>
      </w:r>
      <m:oMath>
        <m:d>
          <m:dPr>
            <m:begChr m:val="("/>
            <m:endChr m:val=")"/>
            <m:sepChr m:val=""/>
            <m:grow/>
          </m:dPr>
          <m:e>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BodyText"/>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w:t>
      </w:r>
    </w:p>
    <w:p>
      <w:pPr>
        <w:pStyle w:val="BodyText"/>
      </w:pPr>
      <w:r>
        <w:t xml:space="preserve">To estimate the MCs,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r>
        <w:t xml:space="preserve"> </w:t>
      </w:r>
      <w:r>
        <w:t xml:space="preserve">(</w:t>
      </w:r>
      <w:hyperlink w:anchor="ref-Arel-Bundock:2023">
        <w:r>
          <w:rPr>
            <w:rStyle w:val="Hyperlink"/>
          </w:rPr>
          <w:t xml:space="preserve">43</w:t>
        </w:r>
      </w:hyperlink>
      <w:r>
        <w:t xml:space="preserve">)</w:t>
      </w:r>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MCs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r>
        <w:t xml:space="preserve"> </w:t>
      </w:r>
      <w:r>
        <w:t xml:space="preserve">(</w:t>
      </w:r>
      <w:hyperlink w:anchor="ref-Zeileis:2004">
        <w:r>
          <w:rPr>
            <w:rStyle w:val="Hyperlink"/>
          </w:rPr>
          <w:t xml:space="preserve">44</w:t>
        </w:r>
      </w:hyperlink>
      <w:r>
        <w:t xml:space="preserve">,</w:t>
      </w:r>
      <w:hyperlink w:anchor="ref-ZeileisKollGraham:2020">
        <w:r>
          <w:rPr>
            <w:rStyle w:val="Hyperlink"/>
          </w:rPr>
          <w:t xml:space="preserve">45</w:t>
        </w:r>
      </w:hyperlink>
      <w:r>
        <w:t xml:space="preserve">)</w:t>
      </w:r>
      <w:r>
        <w:t xml:space="preserve">.</w:t>
      </w:r>
      <w:r>
        <w:t xml:space="preserve"> </w:t>
      </w:r>
      <w:r>
        <w:t xml:space="preserve">For each outcome, we report the results as differences between MCs.</w:t>
      </w:r>
    </w:p>
    <w:p>
      <w:pPr>
        <w:pStyle w:val="BodyText"/>
      </w:pPr>
      <w:r>
        <w:t xml:space="preserve">The R code to reproduce analyses and results is available online (https://github.com/lorenzoFabbri/paper-helixSC-neuro).</w:t>
      </w:r>
    </w:p>
    <w:bookmarkEnd w:id="29"/>
    <w:bookmarkStart w:id="30" w:name="effect-modification-analysis"/>
    <w:p>
      <w:pPr>
        <w:pStyle w:val="Heading3"/>
      </w:pPr>
      <w:r>
        <w:t xml:space="preserve">Effect-modification analysis</w:t>
      </w:r>
    </w:p>
    <w:p>
      <w:pPr>
        <w:pStyle w:val="FirstParagraph"/>
      </w:pPr>
      <w:r>
        <w:t xml:space="preserve">We further estimated separate MCs for possible effect-modification by sex. To do so, balancing weights were estimated separately for each level of the sex variable, and an interaction term between the exposure and sex was included in the outcome model. Similarly, the MCs were aggregated separately for each level of sex.</w:t>
      </w:r>
    </w:p>
    <w:bookmarkEnd w:id="30"/>
    <w:bookmarkEnd w:id="31"/>
    <w:bookmarkEnd w:id="32"/>
    <w:bookmarkStart w:id="34" w:name="sec-res"/>
    <w:p>
      <w:pPr>
        <w:pStyle w:val="Heading1"/>
      </w:pPr>
      <w:r>
        <w:t xml:space="preserve">Results</w:t>
      </w:r>
    </w:p>
    <w:p>
      <w:pPr>
        <w:pStyle w:val="FirstParagraph"/>
      </w:pPr>
      <w:hyperlink w:anchor="tbl-pop-desc">
        <w:r>
          <w:rPr>
            <w:rStyle w:val="Hyperlink"/>
          </w:rPr>
          <w:t xml:space="preserve">Table 1</w:t>
        </w:r>
      </w:hyperlink>
      <w:r>
        <w:t xml:space="preserve"> </w:t>
      </w:r>
      <w:r>
        <w:t xml:space="preserve">and</w:t>
      </w:r>
      <w:r>
        <w:t xml:space="preserve"> </w:t>
      </w:r>
      <w:hyperlink w:anchor="supptbl-pop-desc">
        <w:r>
          <w:rPr>
            <w:rStyle w:val="Hyperlink"/>
          </w:rPr>
          <w:t xml:space="preserve">Table S7</w:t>
        </w:r>
      </w:hyperlink>
      <w:r>
        <w:t xml:space="preserve"> </w:t>
      </w:r>
      <w:r>
        <w:t xml:space="preserve">provide descriptive statistics for the outcome and covariates for the HELIX subcohort and for each cohort, respectively.</w:t>
      </w:r>
      <w:r>
        <w:t xml:space="preserve"> </w:t>
      </w:r>
      <w:r>
        <w:t xml:space="preserve">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each research question is presented in</w:t>
      </w:r>
      <w:r>
        <w:t xml:space="preserve"> </w:t>
      </w:r>
      <w:hyperlink w:anchor="suppfig-flow-pop">
        <w:r>
          <w:rPr>
            <w:rStyle w:val="Hyperlink"/>
          </w:rPr>
          <w:t xml:space="preserve">Figure S1</w:t>
        </w:r>
      </w:hyperlink>
      <w:r>
        <w:t xml:space="preserve">. The sample consisted of 55% males.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p>
    <w:p>
      <w:pPr>
        <w:pStyle w:val="BodyText"/>
      </w:pPr>
      <w:r>
        <w:t xml:space="preserve">Levels of unprocessed non-persistent EDCs, after imputation of values below the LOD, and glucocorticosteroids, are presented in</w:t>
      </w:r>
      <w:r>
        <w:t xml:space="preserve"> </w:t>
      </w:r>
      <w:hyperlink w:anchor="tbl-edc-desc">
        <w:r>
          <w:rPr>
            <w:rStyle w:val="Hyperlink"/>
          </w:rPr>
          <w:t xml:space="preserve">Table 2</w:t>
        </w:r>
      </w:hyperlink>
      <w:r>
        <w:t xml:space="preserve">,</w:t>
      </w:r>
      <w:r>
        <w:t xml:space="preserve"> </w:t>
      </w:r>
      <w:hyperlink w:anchor="tbl-met-new-desc">
        <w:r>
          <w:rPr>
            <w:rStyle w:val="Hyperlink"/>
          </w:rPr>
          <w:t xml:space="preserve">Table 3</w:t>
        </w:r>
      </w:hyperlink>
      <w:r>
        <w:t xml:space="preserve">, and</w:t>
      </w:r>
      <w:r>
        <w:t xml:space="preserve"> </w:t>
      </w:r>
      <w:hyperlink w:anchor="supptbl-met-desc">
        <w:r>
          <w:rPr>
            <w:rStyle w:val="Hyperlink"/>
          </w:rPr>
          <w:t xml:space="preserve">Table S8</w:t>
        </w:r>
      </w:hyperlink>
      <w:r>
        <w:t xml:space="preserve">. Supplementary Figures</w:t>
      </w:r>
      <w:r>
        <w:t xml:space="preserve"> </w:t>
      </w:r>
      <w:hyperlink w:anchor="suppfig-desc-chems">
        <w:r>
          <w:rPr>
            <w:rStyle w:val="Hyperlink"/>
          </w:rPr>
          <w:t xml:space="preserve">2</w:t>
        </w:r>
      </w:hyperlink>
      <w:r>
        <w:t xml:space="preserve"> </w:t>
      </w:r>
      <w:r>
        <w:t xml:space="preserve">and</w:t>
      </w:r>
      <w:r>
        <w:t xml:space="preserve"> </w:t>
      </w:r>
      <w:hyperlink w:anchor="suppfig-desc-mets">
        <w:r>
          <w:rPr>
            <w:rStyle w:val="Hyperlink"/>
          </w:rPr>
          <w:t xml:space="preserve">3</w:t>
        </w:r>
      </w:hyperlink>
      <w:r>
        <w:t xml:space="preserve"> </w:t>
      </w:r>
      <w:r>
        <w:t xml:space="preserve">provide information on the measurement classification of the EDCs and glucocorticosteroids by cohort, respectively.</w:t>
      </w:r>
    </w:p>
    <w:p>
      <w:pPr>
        <w:pStyle w:val="BodyText"/>
      </w:pPr>
      <w:r>
        <w:t xml:space="preserve">The effective sample sizes before and after balancing weights estimation are presented in Supplementary Tables</w:t>
      </w:r>
      <w:r>
        <w:t xml:space="preserve"> </w:t>
      </w:r>
      <w:hyperlink w:anchor="supptbl-balance-1">
        <w:r>
          <w:rPr>
            <w:rStyle w:val="Hyperlink"/>
          </w:rPr>
          <w:t xml:space="preserve">9</w:t>
        </w:r>
      </w:hyperlink>
      <w:r>
        <w:t xml:space="preserve">, </w:t>
      </w:r>
      <w:hyperlink w:anchor="supptbl-balance-2">
        <w:r>
          <w:rPr>
            <w:rStyle w:val="Hyperlink"/>
          </w:rPr>
          <w:t xml:space="preserve">10</w:t>
        </w:r>
      </w:hyperlink>
      <w:r>
        <w:t xml:space="preserve">, </w:t>
      </w:r>
      <w:hyperlink w:anchor="supptbl-balance-3">
        <w:r>
          <w:rPr>
            <w:rStyle w:val="Hyperlink"/>
          </w:rPr>
          <w:t xml:space="preserve">11</w:t>
        </w:r>
      </w:hyperlink>
      <w:r>
        <w:t xml:space="preserve">, while basic summary statistics of the estimated balancing weights are presented in Supplementary Tables</w:t>
      </w:r>
      <w:r>
        <w:t xml:space="preserve"> </w:t>
      </w:r>
      <w:hyperlink w:anchor="supptbl-weights-1">
        <w:r>
          <w:rPr>
            <w:rStyle w:val="Hyperlink"/>
          </w:rPr>
          <w:t xml:space="preserve">12</w:t>
        </w:r>
      </w:hyperlink>
      <w:r>
        <w:t xml:space="preserve">, </w:t>
      </w:r>
      <w:hyperlink w:anchor="supptbl-weights-2">
        <w:r>
          <w:rPr>
            <w:rStyle w:val="Hyperlink"/>
          </w:rPr>
          <w:t xml:space="preserve">13</w:t>
        </w:r>
      </w:hyperlink>
      <w:r>
        <w:t xml:space="preserve">, </w:t>
      </w:r>
      <w:hyperlink w:anchor="supptbl-weights-3">
        <w:r>
          <w:rPr>
            <w:rStyle w:val="Hyperlink"/>
          </w:rPr>
          <w:t xml:space="preserve">14</w:t>
        </w:r>
      </w:hyperlink>
      <w:r>
        <w:t xml:space="preserve">. As expected, the median value of the weights for each exposure was close to</w:t>
      </w:r>
      <w:r>
        <w:t xml:space="preserve"> </w:t>
      </w:r>
      <m:oMath>
        <m:r>
          <m:t>1.00</m:t>
        </m:r>
      </m:oMath>
      <w:r>
        <w:t xml:space="preserve">.</w:t>
      </w:r>
    </w:p>
    <w:p>
      <w:pPr>
        <w:pStyle w:val="BodyText"/>
      </w:pPr>
      <w:hyperlink w:anchor="fig-marginal-1">
        <w:r>
          <w:rPr>
            <w:rStyle w:val="Hyperlink"/>
          </w:rPr>
          <w:t xml:space="preserve">Figure 1</w:t>
        </w:r>
      </w:hyperlink>
      <w:r>
        <w:t xml:space="preserve"> </w:t>
      </w:r>
      <w:r>
        <w:t xml:space="preserve">presents the forest plot for the MCs on the logarithmic scale of the non-persistent EDCs on HRT-SE. For most EDCs, a cohort-specific increase in the levels of the exposures from the 10th to the 90th percentiles was associated with a positive MC, indicating an increase in the values of HRT-SE and thus lower attention. Most of the confidence intervals (CIs) included the null effect, though. Significant effects were observed for the paraben MEPA (MC: 0.042 and</w:t>
      </w:r>
      <w:r>
        <w:t xml:space="preserve"> </w:t>
      </w:r>
      <m:oMath>
        <m:r>
          <m:t>95</m:t>
        </m:r>
        <m:r>
          <m:rPr>
            <m:sty m:val="p"/>
          </m:rPr>
          <m:t>%</m:t>
        </m:r>
      </m:oMath>
      <w:r>
        <w:t xml:space="preserve"> </w:t>
      </w:r>
      <w:r>
        <w:t xml:space="preserve">CI: (0.013, 0.071)), and the phthalate metabolites oxo-MiNP (MC: 0.023 and</w:t>
      </w:r>
      <w:r>
        <w:t xml:space="preserve"> </w:t>
      </w:r>
      <m:oMath>
        <m:r>
          <m:t>95</m:t>
        </m:r>
        <m:r>
          <m:rPr>
            <m:sty m:val="p"/>
          </m:rPr>
          <m:t>%</m:t>
        </m:r>
      </m:oMath>
      <w:r>
        <w:t xml:space="preserve"> </w:t>
      </w:r>
      <w:r>
        <w:t xml:space="preserve">CI: (0.003, 0.044)), oh-MiNP (MC: 0.039 and</w:t>
      </w:r>
      <w:r>
        <w:t xml:space="preserve"> </w:t>
      </w:r>
      <m:oMath>
        <m:r>
          <m:t>95</m:t>
        </m:r>
        <m:r>
          <m:rPr>
            <m:sty m:val="p"/>
          </m:rPr>
          <m:t>%</m:t>
        </m:r>
      </m:oMath>
      <w:r>
        <w:t xml:space="preserve"> </w:t>
      </w:r>
      <w:r>
        <w:t xml:space="preserve">CI: (0.001, 0.076)), and MEHP (MC: 0.036 and</w:t>
      </w:r>
      <w:r>
        <w:t xml:space="preserve"> </w:t>
      </w:r>
      <m:oMath>
        <m:r>
          <m:t>95</m:t>
        </m:r>
        <m:r>
          <m:rPr>
            <m:sty m:val="p"/>
          </m:rPr>
          <m:t>%</m:t>
        </m:r>
      </m:oMath>
      <w:r>
        <w:t xml:space="preserve"> </w:t>
      </w:r>
      <w:r>
        <w:t xml:space="preserve">CI: (0.008, 0.063)). The organophosphate pesticide (OP pesticide) DETP was negatively associated with HRT-SE (MC: -0.026 and</w:t>
      </w:r>
      <w:r>
        <w:t xml:space="preserve"> </w:t>
      </w:r>
      <m:oMath>
        <m:r>
          <m:t>95</m:t>
        </m:r>
        <m:r>
          <m:rPr>
            <m:sty m:val="p"/>
          </m:rPr>
          <m:t>%</m:t>
        </m:r>
      </m:oMath>
      <w:r>
        <w:t xml:space="preserve"> </w:t>
      </w:r>
      <w:r>
        <w:t xml:space="preserve">CI: (-0.054, 0.001)).</w:t>
      </w:r>
    </w:p>
    <w:p>
      <w:pPr>
        <w:pStyle w:val="BodyText"/>
      </w:pPr>
      <w:hyperlink w:anchor="fig-marginal-2">
        <w:r>
          <w:rPr>
            <w:rStyle w:val="Hyperlink"/>
          </w:rPr>
          <w:t xml:space="preserve">Figure 2</w:t>
        </w:r>
      </w:hyperlink>
      <w:r>
        <w:t xml:space="preserve"> </w:t>
      </w:r>
      <w:r>
        <w:t xml:space="preserve">presents the forest plot for the MCs on the logarithmic scale of the non-persistent EDCs on total cortisone, cortisol, and corticosterone production. For most EDCs, a cohort-specific increase in the levels of the exposures from the 10th to the 90th percentiles was associated with a positive MC, indicating an increase in the total production of these metabolites. Exceptions were BUPA, which was associated with negative MCs for all three outcomes, and MiBP, which was associated with a negative MC for total cortisone production only.</w:t>
      </w:r>
      <w:r>
        <w:t xml:space="preserve"> </w:t>
      </w:r>
      <w:r>
        <w:t xml:space="preserve">The majority of the effects for the phenols and phthalate metabolites included the null. The phenol BPA showed the largest MCs across all three outcomes (cortisone production, MC: 0.263 and</w:t>
      </w:r>
      <w:r>
        <w:t xml:space="preserve"> </w:t>
      </w:r>
      <m:oMath>
        <m:r>
          <m:t>95</m:t>
        </m:r>
        <m:r>
          <m:rPr>
            <m:sty m:val="p"/>
          </m:rPr>
          <m:t>%</m:t>
        </m:r>
      </m:oMath>
      <w:r>
        <w:t xml:space="preserve"> </w:t>
      </w:r>
      <w:r>
        <w:t xml:space="preserve">CI: (0.131, 0.394); cortisol production, MC: 0.274 and</w:t>
      </w:r>
      <w:r>
        <w:t xml:space="preserve"> </w:t>
      </w:r>
      <m:oMath>
        <m:r>
          <m:t>95</m:t>
        </m:r>
        <m:r>
          <m:rPr>
            <m:sty m:val="p"/>
          </m:rPr>
          <m:t>%</m:t>
        </m:r>
      </m:oMath>
      <w:r>
        <w:t xml:space="preserve"> </w:t>
      </w:r>
      <w:r>
        <w:t xml:space="preserve">CI: (0.107, 0.441); corticosterone production, MC: 0.285 and</w:t>
      </w:r>
      <w:r>
        <w:t xml:space="preserve"> </w:t>
      </w:r>
      <m:oMath>
        <m:r>
          <m:t>95</m:t>
        </m:r>
        <m:r>
          <m:rPr>
            <m:sty m:val="p"/>
          </m:rPr>
          <m:t>%</m:t>
        </m:r>
      </m:oMath>
      <w:r>
        <w:t xml:space="preserve"> </w:t>
      </w:r>
      <w:r>
        <w:t xml:space="preserve">CI: (0.106, 0.464)).</w:t>
      </w:r>
    </w:p>
    <w:p>
      <w:pPr>
        <w:pStyle w:val="BodyText"/>
      </w:pPr>
      <w:hyperlink w:anchor="fig-marginal-3">
        <w:r>
          <w:rPr>
            <w:rStyle w:val="Hyperlink"/>
          </w:rPr>
          <w:t xml:space="preserve">Figure 3</w:t>
        </w:r>
      </w:hyperlink>
      <w:r>
        <w:t xml:space="preserve"> </w:t>
      </w:r>
      <w:r>
        <w:t xml:space="preserve">presents the forest plot for the MCs on the logarithmic scale of the glucocorticosteroids on HRT-SE. All MCs included the null, with no clear indication of directionality of the effect.</w:t>
      </w:r>
    </w:p>
    <w:bookmarkStart w:id="33" w:name="effect-modification-by-sex"/>
    <w:p>
      <w:pPr>
        <w:pStyle w:val="Heading2"/>
      </w:pPr>
      <w:r>
        <w:t xml:space="preserve">Effect modification by sex</w:t>
      </w:r>
    </w:p>
    <w:p>
      <w:pPr>
        <w:pStyle w:val="FirstParagraph"/>
      </w:pPr>
      <w:r>
        <w:t xml:space="preserve">Basic summary statistics of the estimated balancing weights for effect modification are presented in Supplementary Tables</w:t>
      </w:r>
      <w:r>
        <w:t xml:space="preserve"> </w:t>
      </w:r>
      <w:hyperlink w:anchor="supptbl-weights-1sa">
        <w:r>
          <w:rPr>
            <w:rStyle w:val="Hyperlink"/>
          </w:rPr>
          <w:t xml:space="preserve">15</w:t>
        </w:r>
      </w:hyperlink>
      <w:r>
        <w:t xml:space="preserve">, </w:t>
      </w:r>
      <w:hyperlink w:anchor="supptbl-weights-2sa">
        <w:r>
          <w:rPr>
            <w:rStyle w:val="Hyperlink"/>
          </w:rPr>
          <w:t xml:space="preserve">16</w:t>
        </w:r>
      </w:hyperlink>
      <w:r>
        <w:t xml:space="preserve">, </w:t>
      </w:r>
      <w:hyperlink w:anchor="supptbl-weights-3sa">
        <w:r>
          <w:rPr>
            <w:rStyle w:val="Hyperlink"/>
          </w:rPr>
          <w:t xml:space="preserve">17</w:t>
        </w:r>
      </w:hyperlink>
      <w:r>
        <w:t xml:space="preserve">. As expected, the median value of the weights for each exposure was close to</w:t>
      </w:r>
      <w:r>
        <w:t xml:space="preserve"> </w:t>
      </w:r>
      <m:oMath>
        <m:r>
          <m:t>1.00</m:t>
        </m:r>
      </m:oMath>
      <w:r>
        <w:t xml:space="preserve">.</w:t>
      </w:r>
    </w:p>
    <w:p>
      <w:pPr>
        <w:pStyle w:val="BodyText"/>
      </w:pPr>
      <w:hyperlink w:anchor="tbl-hypothesis-1and2">
        <w:r>
          <w:rPr>
            <w:rStyle w:val="Hyperlink"/>
          </w:rPr>
          <w:t xml:space="preserve">Table 4</w:t>
        </w:r>
      </w:hyperlink>
      <w:r>
        <w:t xml:space="preserve"> </w:t>
      </w:r>
      <w:r>
        <w:t xml:space="preserve">presents the results of the difference between estimates of the MCs on the logarithmic scale for females and males, for the EDCs on the glucocorticosteroids and HRT-SE. For HRT-SE, significant differences were present for the phenol OXBE (MC: 0.032 and</w:t>
      </w:r>
      <w:r>
        <w:t xml:space="preserve"> </w:t>
      </w:r>
      <m:oMath>
        <m:r>
          <m:t>95</m:t>
        </m:r>
        <m:r>
          <m:rPr>
            <m:sty m:val="p"/>
          </m:rPr>
          <m:t>%</m:t>
        </m:r>
      </m:oMath>
      <w:r>
        <w:t xml:space="preserve"> </w:t>
      </w:r>
      <w:r>
        <w:t xml:space="preserve">CI: (0.004, 0.061)) and the phthalate metabolites MEP (MC: -0.053 and</w:t>
      </w:r>
      <w:r>
        <w:t xml:space="preserve"> </w:t>
      </w:r>
      <m:oMath>
        <m:r>
          <m:t>95</m:t>
        </m:r>
        <m:r>
          <m:rPr>
            <m:sty m:val="p"/>
          </m:rPr>
          <m:t>%</m:t>
        </m:r>
      </m:oMath>
      <w:r>
        <w:t xml:space="preserve"> </w:t>
      </w:r>
      <w:r>
        <w:t xml:space="preserve">CI: (-0.138, 0.033)) and MbZP (MC: -0.066 and</w:t>
      </w:r>
      <w:r>
        <w:t xml:space="preserve"> </w:t>
      </w:r>
      <m:oMath>
        <m:r>
          <m:t>95</m:t>
        </m:r>
        <m:r>
          <m:rPr>
            <m:sty m:val="p"/>
          </m:rPr>
          <m:t>%</m:t>
        </m:r>
      </m:oMath>
      <w:r>
        <w:t xml:space="preserve"> </w:t>
      </w:r>
      <w:r>
        <w:t xml:space="preserve">CI: (-0.126, -0.007)). For the glucocorticosteroids, significant differences were present across all three classes of EDCs and for all outcomes. The largest differences were attributable to the OP pesticides DMTP (cortisol production, MC: -0.21 and</w:t>
      </w:r>
      <w:r>
        <w:t xml:space="preserve"> </w:t>
      </w:r>
      <m:oMath>
        <m:r>
          <m:t>95</m:t>
        </m:r>
        <m:r>
          <m:rPr>
            <m:sty m:val="p"/>
          </m:rPr>
          <m:t>%</m:t>
        </m:r>
      </m:oMath>
      <w:r>
        <w:t xml:space="preserve"> </w:t>
      </w:r>
      <w:r>
        <w:t xml:space="preserve">CI: (-0.326, -0.094)) and DETP (corticosterone production, (MC: -0.16 and</w:t>
      </w:r>
      <w:r>
        <w:t xml:space="preserve"> </w:t>
      </w:r>
      <m:oMath>
        <m:r>
          <m:t>95</m:t>
        </m:r>
        <m:r>
          <m:rPr>
            <m:sty m:val="p"/>
          </m:rPr>
          <m:t>%</m:t>
        </m:r>
      </m:oMath>
      <w:r>
        <w:t xml:space="preserve"> </w:t>
      </w:r>
      <w:r>
        <w:t xml:space="preserve">CI: (-0.332, 0.011)); cortisone production, (MC: -0.097 and</w:t>
      </w:r>
      <w:r>
        <w:t xml:space="preserve"> </w:t>
      </w:r>
      <m:oMath>
        <m:r>
          <m:t>95</m:t>
        </m:r>
        <m:r>
          <m:rPr>
            <m:sty m:val="p"/>
          </m:rPr>
          <m:t>%</m:t>
        </m:r>
      </m:oMath>
      <w:r>
        <w:t xml:space="preserve"> </w:t>
      </w:r>
      <w:r>
        <w:t xml:space="preserve">CI: (-0.269, 0.076))). The forest plots of the individual MCs are presented in Supplementary Figures</w:t>
      </w:r>
      <w:r>
        <w:t xml:space="preserve"> </w:t>
      </w:r>
      <w:hyperlink w:anchor="suppfig-marginal-1sa">
        <w:r>
          <w:rPr>
            <w:rStyle w:val="Hyperlink"/>
          </w:rPr>
          <w:t xml:space="preserve">4</w:t>
        </w:r>
      </w:hyperlink>
      <w:r>
        <w:t xml:space="preserve"> </w:t>
      </w:r>
      <w:r>
        <w:t xml:space="preserve">and</w:t>
      </w:r>
      <w:r>
        <w:t xml:space="preserve"> </w:t>
      </w:r>
      <w:hyperlink w:anchor="suppfig-marginal-2sa">
        <w:r>
          <w:rPr>
            <w:rStyle w:val="Hyperlink"/>
          </w:rPr>
          <w:t xml:space="preserve">5</w:t>
        </w:r>
      </w:hyperlink>
      <w:r>
        <w:t xml:space="preserve">.</w:t>
      </w:r>
    </w:p>
    <w:p>
      <w:pPr>
        <w:pStyle w:val="BodyText"/>
      </w:pPr>
      <w:hyperlink w:anchor="tbl-hypothesis-3">
        <w:r>
          <w:rPr>
            <w:rStyle w:val="Hyperlink"/>
          </w:rPr>
          <w:t xml:space="preserve">Table 5</w:t>
        </w:r>
      </w:hyperlink>
      <w:r>
        <w:t xml:space="preserve"> </w:t>
      </w:r>
      <w:r>
        <w:t xml:space="preserve">presents the results of the difference between estimates of the MCs on the logarithmic scale for females and males, for the glucocorticosteroids on HRT-SE. Significant differences were present for cortisone production (MC: 0.14 and</w:t>
      </w:r>
      <w:r>
        <w:t xml:space="preserve"> </w:t>
      </w:r>
      <m:oMath>
        <m:r>
          <m:t>95</m:t>
        </m:r>
        <m:r>
          <m:rPr>
            <m:sty m:val="p"/>
          </m:rPr>
          <m:t>%</m:t>
        </m:r>
      </m:oMath>
      <w:r>
        <w:t xml:space="preserve"> </w:t>
      </w:r>
      <w:r>
        <w:t xml:space="preserve">CI: (0.019, 0.261)) and corticosterone production (MC: 0.126 and</w:t>
      </w:r>
      <w:r>
        <w:t xml:space="preserve"> </w:t>
      </w:r>
      <m:oMath>
        <m:r>
          <m:t>95</m:t>
        </m:r>
        <m:r>
          <m:rPr>
            <m:sty m:val="p"/>
          </m:rPr>
          <m:t>%</m:t>
        </m:r>
      </m:oMath>
      <w:r>
        <w:t xml:space="preserve"> </w:t>
      </w:r>
      <w:r>
        <w:t xml:space="preserve">CI: (0.009, 0.243)). Furthermore, for all exposures, the MCs had opposite sign (positive for males and negative for females). The forest plot of the individual MCs is presented in</w:t>
      </w:r>
      <w:r>
        <w:t xml:space="preserve"> </w:t>
      </w:r>
      <w:hyperlink w:anchor="suppfig-marginal-3sa">
        <w:r>
          <w:rPr>
            <w:rStyle w:val="Hyperlink"/>
          </w:rPr>
          <w:t xml:space="preserve">Figure S6</w:t>
        </w:r>
      </w:hyperlink>
      <w:r>
        <w:t xml:space="preserve">.</w:t>
      </w:r>
    </w:p>
    <w:bookmarkEnd w:id="33"/>
    <w:bookmarkEnd w:id="34"/>
    <w:bookmarkStart w:id="35" w:name="sec-discussion"/>
    <w:p>
      <w:pPr>
        <w:pStyle w:val="Heading1"/>
      </w:pPr>
      <w:r>
        <w:t xml:space="preserve">Discussion</w:t>
      </w:r>
    </w:p>
    <w:p>
      <w:pPr>
        <w:pStyle w:val="FirstParagraph"/>
      </w:pPr>
      <w:r>
        <w:t xml:space="preserve">The impact of exposure to EDCs on human health has attracted considerable research interest. While research in this area has mainly investigated the effects of prenatal exposure on child neurodevelopment</w:t>
      </w:r>
      <w:r>
        <w:t xml:space="preserve"> </w:t>
      </w:r>
      <w:r>
        <w:t xml:space="preserve">(</w:t>
      </w:r>
      <w:hyperlink w:anchor="Xd81cf38a3b251ec377f8aa13b097ea9d0c190e3">
        <w:r>
          <w:rPr>
            <w:rStyle w:val="Hyperlink"/>
          </w:rPr>
          <w:t xml:space="preserve">2</w:t>
        </w:r>
      </w:hyperlink>
      <w:r>
        <w:t xml:space="preserve">)</w:t>
      </w:r>
      <w:r>
        <w:t xml:space="preserve">, little is still known about childhood exposure. In this study, consisting of 1,297 children from 6 European birth cohorts, we observed that short-term childhood exposure to certain non-persistent EDCs was associated with attentional function (MEPA, MEHP, oh-MiNP, and oxo-MiNP), and with total production of cortisol, cortisone, and corticosterone (DEP, DMP, DMTP, BPA, ETPA, MEPA, MEHP, oh-MiNP, and oxo-MiNP). Increased production of these glucocorticosteroids did not seem to affect attentional function. Some of these effects differed for females and males, including significant differences for the effects of increased production of cortisone and corticosterone on HRT-SE. Specifically, an increased production of these glucocorticosteroids was associated with lower values of HRT-SE for females, and higher values for males. Taken together, these results suggest that these non-persistent EDCs might be responsible for perturbations of the HPA axis’ homeostasis, and that higher levels of these glucocorticosteroids might interfere with different functions of attention in a sex-specific manner.</w:t>
      </w:r>
    </w:p>
    <w:p>
      <w:pPr>
        <w:pStyle w:val="BodyText"/>
      </w:pPr>
      <w:r>
        <w:t xml:space="preserve">To the best of our knowledge, no other study has investigated the effects of childhood exposure to multiple classes of non-persistent EDCs in relation to attentional function.</w:t>
      </w:r>
      <w:r>
        <w:t xml:space="preserve"> </w:t>
      </w:r>
      <w:r>
        <w:t xml:space="preserve">More generally, the literature on non-persistent EDCs and neurodevelopment in children has mostly focused on OP pesticides</w:t>
      </w:r>
      <w:r>
        <w:t xml:space="preserve"> </w:t>
      </w:r>
      <w:r>
        <w:t xml:space="preserve">(</w:t>
      </w:r>
      <w:hyperlink w:anchor="ref-BouchardBellingerWright:2010">
        <w:r>
          <w:rPr>
            <w:rStyle w:val="Hyperlink"/>
          </w:rPr>
          <w:t xml:space="preserve">3</w:t>
        </w:r>
      </w:hyperlink>
      <w:r>
        <w:t xml:space="preserve">,</w:t>
      </w:r>
      <w:hyperlink w:anchor="X2a5c5c17453fffe785b7f0bcffd564283892c6c">
        <w:r>
          <w:rPr>
            <w:rStyle w:val="Hyperlink"/>
          </w:rPr>
          <w:t xml:space="preserve">4</w:t>
        </w:r>
      </w:hyperlink>
      <w:r>
        <w:t xml:space="preserve">,</w:t>
      </w:r>
      <w:hyperlink w:anchor="Xa0cc0fdd8206e54b0a9b4bdcd9d2102efd24cb7">
        <w:r>
          <w:rPr>
            <w:rStyle w:val="Hyperlink"/>
          </w:rPr>
          <w:t xml:space="preserve">6</w:t>
        </w:r>
      </w:hyperlink>
      <w:r>
        <w:t xml:space="preserve">,</w:t>
      </w:r>
      <w:hyperlink w:anchor="ref-YuDuChiou:2016">
        <w:r>
          <w:rPr>
            <w:rStyle w:val="Hyperlink"/>
          </w:rPr>
          <w:t xml:space="preserve">8</w:t>
        </w:r>
      </w:hyperlink>
      <w:r>
        <w:t xml:space="preserve">)</w:t>
      </w:r>
      <w:r>
        <w:t xml:space="preserve">, phthalate metabolites</w:t>
      </w:r>
      <w:r>
        <w:t xml:space="preserve"> </w:t>
      </w:r>
      <w:r>
        <w:t xml:space="preserve">(</w:t>
      </w:r>
      <w:hyperlink w:anchor="ref-HuangChenSu:2015">
        <w:r>
          <w:rPr>
            <w:rStyle w:val="Hyperlink"/>
          </w:rPr>
          <w:t xml:space="preserve">5</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ShoaffCoullWeuve:2020">
        <w:r>
          <w:rPr>
            <w:rStyle w:val="Hyperlink"/>
          </w:rPr>
          <w:t xml:space="preserve">15</w:t>
        </w:r>
      </w:hyperlink>
      <w:r>
        <w:t xml:space="preserve">,</w:t>
      </w:r>
      <w:hyperlink w:anchor="ref-VilmandBeckBilenberg:2023">
        <w:r>
          <w:rPr>
            <w:rStyle w:val="Hyperlink"/>
          </w:rPr>
          <w:t xml:space="preserve">17</w:t>
        </w:r>
      </w:hyperlink>
      <w:r>
        <w:t xml:space="preserve">,</w:t>
      </w:r>
      <w:hyperlink w:anchor="ref-LiPapandonatosCalafat:2019">
        <w:r>
          <w:rPr>
            <w:rStyle w:val="Hyperlink"/>
          </w:rPr>
          <w:t xml:space="preserve">46</w:t>
        </w:r>
      </w:hyperlink>
      <w:r>
        <w:t xml:space="preserve">–</w:t>
      </w:r>
      <w:hyperlink w:anchor="ref-JankowskaPolanskaHanke:2019">
        <w:r>
          <w:rPr>
            <w:rStyle w:val="Hyperlink"/>
          </w:rPr>
          <w:t xml:space="preserve">48</w:t>
        </w:r>
      </w:hyperlink>
      <w:r>
        <w:t xml:space="preserve">)</w:t>
      </w:r>
      <w:r>
        <w:t xml:space="preserve">, and BPA</w:t>
      </w:r>
      <w:r>
        <w:t xml:space="preserve"> </w:t>
      </w:r>
      <w:r>
        <w:t xml:space="preserve">(</w:t>
      </w:r>
      <w:hyperlink w:anchor="ref-TewarAuingerBraun:2016">
        <w:r>
          <w:rPr>
            <w:rStyle w:val="Hyperlink"/>
          </w:rPr>
          <w:t xml:space="preserve">7</w:t>
        </w:r>
      </w:hyperlink>
      <w:r>
        <w:t xml:space="preserve">,</w:t>
      </w:r>
      <w:hyperlink w:anchor="ref-LiZhangKuang:2018">
        <w:r>
          <w:rPr>
            <w:rStyle w:val="Hyperlink"/>
          </w:rPr>
          <w:t xml:space="preserve">13</w:t>
        </w:r>
      </w:hyperlink>
      <w:r>
        <w:t xml:space="preserve">,</w:t>
      </w:r>
      <w:hyperlink w:anchor="X71fca68020aad3c79232160399444b9923ab76e">
        <w:r>
          <w:rPr>
            <w:rStyle w:val="Hyperlink"/>
          </w:rPr>
          <w:t xml:space="preserve">14</w:t>
        </w:r>
      </w:hyperlink>
      <w:r>
        <w:t xml:space="preserve">)</w:t>
      </w:r>
      <w:r>
        <w:t xml:space="preserve">.</w:t>
      </w:r>
      <w:r>
        <w:t xml:space="preserve"> </w:t>
      </w:r>
      <w:r>
        <w:t xml:space="preserve">González-Alzaga et al. and Cartier et al. evaluated cross-sectional associations between dialkylphosphate (DAP) metabolites and subtests of the Wechsler Intelligence Scale for Children</w:t>
      </w:r>
      <w:r>
        <w:t xml:space="preserve"> </w:t>
      </w:r>
      <w:r>
        <w:t xml:space="preserve">(</w:t>
      </w:r>
      <w:hyperlink w:anchor="ref-WechslerKodama:2003">
        <w:r>
          <w:rPr>
            <w:rStyle w:val="Hyperlink"/>
          </w:rPr>
          <w:t xml:space="preserve">49</w:t>
        </w:r>
      </w:hyperlink>
      <w:r>
        <w:t xml:space="preserve">)</w:t>
      </w:r>
      <w:r>
        <w:t xml:space="preserve"> </w:t>
      </w:r>
      <w:r>
        <w:t xml:space="preserve">in European children with ages between 6 and 11 years. Higher levels of DAP metabolites (DMP, DMTP, DMDTP, DEP, DETP, and DEDTP) were associated with lower scores of intelligence quotient (IQ) and verbal comprehension, especially in boys</w:t>
      </w:r>
      <w:r>
        <w:t xml:space="preserve"> </w:t>
      </w:r>
      <w:r>
        <w:t xml:space="preserve">(</w:t>
      </w:r>
      <w:hyperlink w:anchor="X2a5c5c17453fffe785b7f0bcffd564283892c6c">
        <w:r>
          <w:rPr>
            <w:rStyle w:val="Hyperlink"/>
          </w:rPr>
          <w:t xml:space="preserve">4</w:t>
        </w:r>
      </w:hyperlink>
      <w:r>
        <w:t xml:space="preserve">)</w:t>
      </w:r>
      <w:r>
        <w:t xml:space="preserve">, while higher levels of diethylphosphate metabolites (DEP, DETP, DEDTP) were associated with lower working memory scores</w:t>
      </w:r>
      <w:r>
        <w:t xml:space="preserve"> </w:t>
      </w:r>
      <w:r>
        <w:t xml:space="preserve">(</w:t>
      </w:r>
      <w:hyperlink w:anchor="Xa0cc0fdd8206e54b0a9b4bdcd9d2102efd24cb7">
        <w:r>
          <w:rPr>
            <w:rStyle w:val="Hyperlink"/>
          </w:rPr>
          <w:t xml:space="preserve">6</w:t>
        </w:r>
      </w:hyperlink>
      <w:r>
        <w:t xml:space="preserve">)</w:t>
      </w:r>
      <w:r>
        <w:t xml:space="preserve">.</w:t>
      </w:r>
      <w:r>
        <w:t xml:space="preserve"> </w:t>
      </w:r>
      <w:r>
        <w:t xml:space="preserve">There is also preliminary evidence of a possible association between exposure to certain OP pesticides and Attention-Deficit / Hyperactivity Disorder (ADHD) in children</w:t>
      </w:r>
      <w:r>
        <w:t xml:space="preserve"> </w:t>
      </w:r>
      <w:r>
        <w:t xml:space="preserve">(</w:t>
      </w:r>
      <w:hyperlink w:anchor="ref-BouchardBellingerWright:2010">
        <w:r>
          <w:rPr>
            <w:rStyle w:val="Hyperlink"/>
          </w:rPr>
          <w:t xml:space="preserve">3</w:t>
        </w:r>
      </w:hyperlink>
      <w:r>
        <w:t xml:space="preserve">,</w:t>
      </w:r>
      <w:hyperlink w:anchor="ref-YuDuChiou:2016">
        <w:r>
          <w:rPr>
            <w:rStyle w:val="Hyperlink"/>
          </w:rPr>
          <w:t xml:space="preserve">8</w:t>
        </w:r>
      </w:hyperlink>
      <w:r>
        <w:t xml:space="preserve">)</w:t>
      </w:r>
      <w:r>
        <w:t xml:space="preserve">. Specifically, Bouchard et al. found evidence of a cross-sectional association between dimethyl alkylphosphate metabolites (DMP, DMTP, and DMDTP) and ADHD in children aged 8 to 15 years from National Health and Nutrition Examination Survey (NHANES), while Yu et al. found a dose-response relationship between DMP and ADHD in Taiwanese children aged 4 to 15 years.</w:t>
      </w:r>
      <w:r>
        <w:t xml:space="preserve"> </w:t>
      </w:r>
      <w:r>
        <w:t xml:space="preserve">Preliminary evidence is also available for several phthalate metabolites in relation to cognitive development in childhood. Higher levels of di(2-ethylhexyl) phthalate metabolites (including MEHP, MEHHP, and MEOHP) were associated with lower intelligence scores in children aged 2 to 12 years</w:t>
      </w:r>
      <w:r>
        <w:t xml:space="preserve"> </w:t>
      </w:r>
      <w:r>
        <w:t xml:space="preserve">(</w:t>
      </w:r>
      <w:hyperlink w:anchor="ref-HuangChenSu:2015">
        <w:r>
          <w:rPr>
            <w:rStyle w:val="Hyperlink"/>
          </w:rPr>
          <w:t xml:space="preserve">5</w:t>
        </w:r>
      </w:hyperlink>
      <w:r>
        <w:t xml:space="preserve">)</w:t>
      </w:r>
      <w:r>
        <w:t xml:space="preserve">, lower scores of IQ and verbal intelligence, more omission errors (a measure of inattention), and higher scores of response time variability (a measure of sustained attention) in 6-year old Korean children</w:t>
      </w:r>
      <w:r>
        <w:t xml:space="preserve"> </w:t>
      </w:r>
      <w:r>
        <w:t xml:space="preserve">(</w:t>
      </w:r>
      <w:hyperlink w:anchor="ref-KimHongShin:2017">
        <w:r>
          <w:rPr>
            <w:rStyle w:val="Hyperlink"/>
          </w:rPr>
          <w:t xml:space="preserve">10</w:t>
        </w:r>
      </w:hyperlink>
      <w:r>
        <w:t xml:space="preserve">)</w:t>
      </w:r>
      <w:r>
        <w:t xml:space="preserve">, poorer fine motor skills in preadolescent boys</w:t>
      </w:r>
      <w:r>
        <w:t xml:space="preserve"> </w:t>
      </w:r>
      <w:r>
        <w:t xml:space="preserve">(</w:t>
      </w:r>
      <w:hyperlink w:anchor="ref-BalalianWhyattLiu:2019">
        <w:r>
          <w:rPr>
            <w:rStyle w:val="Hyperlink"/>
          </w:rPr>
          <w:t xml:space="preserve">47</w:t>
        </w:r>
      </w:hyperlink>
      <w:r>
        <w:t xml:space="preserve">)</w:t>
      </w:r>
      <w:r>
        <w:t xml:space="preserve">, and lower intelligence scores in 7-year old children</w:t>
      </w:r>
      <w:r>
        <w:t xml:space="preserve"> </w:t>
      </w:r>
      <w:r>
        <w:t xml:space="preserve">(</w:t>
      </w:r>
      <w:hyperlink w:anchor="ref-VilmandBeckBilenberg:2023">
        <w:r>
          <w:rPr>
            <w:rStyle w:val="Hyperlink"/>
          </w:rPr>
          <w:t xml:space="preserve">17</w:t>
        </w:r>
      </w:hyperlink>
      <w:r>
        <w:t xml:space="preserve">)</w:t>
      </w:r>
      <w:r>
        <w:t xml:space="preserve">. Further associations were found for MEOHP with lower scores of IQ</w:t>
      </w:r>
      <w:r>
        <w:t xml:space="preserve"> </w:t>
      </w:r>
      <w:r>
        <w:t xml:space="preserve">(</w:t>
      </w:r>
      <w:hyperlink w:anchor="ref-HuangChenSu:2015">
        <w:r>
          <w:rPr>
            <w:rStyle w:val="Hyperlink"/>
          </w:rPr>
          <w:t xml:space="preserve">5</w:t>
        </w:r>
      </w:hyperlink>
      <w:r>
        <w:t xml:space="preserve">)</w:t>
      </w:r>
      <w:r>
        <w:t xml:space="preserve"> </w:t>
      </w:r>
      <w:r>
        <w:t xml:space="preserve">and verbal intelligence in Taiwanese children aged 6 to 12 years</w:t>
      </w:r>
      <w:r>
        <w:t xml:space="preserve"> </w:t>
      </w:r>
      <w:r>
        <w:t xml:space="preserve">(</w:t>
      </w:r>
      <w:hyperlink w:anchor="ref-HuangTsaiChen:2017">
        <w:r>
          <w:rPr>
            <w:rStyle w:val="Hyperlink"/>
          </w:rPr>
          <w:t xml:space="preserve">9</w:t>
        </w:r>
      </w:hyperlink>
      <w:r>
        <w:t xml:space="preserve">)</w:t>
      </w:r>
      <w:r>
        <w:t xml:space="preserve">, and for dibutyl phthalate metabolites (MnBP and MiBP) with impaired verbal intelligence</w:t>
      </w:r>
      <w:r>
        <w:t xml:space="preserve"> </w:t>
      </w:r>
      <w:r>
        <w:t xml:space="preserve">(</w:t>
      </w:r>
      <w:hyperlink w:anchor="ref-HuangTsaiChen:2017">
        <w:r>
          <w:rPr>
            <w:rStyle w:val="Hyperlink"/>
          </w:rPr>
          <w:t xml:space="preserve">9</w:t>
        </w:r>
      </w:hyperlink>
      <w:r>
        <w:t xml:space="preserve">)</w:t>
      </w:r>
      <w:r>
        <w:t xml:space="preserve">. There is further preliminary evidence that associations between certain phthalate metabolites and cognitive abilities vary by timing of exposure assessment</w:t>
      </w:r>
      <w:r>
        <w:t xml:space="preserve"> </w:t>
      </w:r>
      <w:r>
        <w:t xml:space="preserve">(</w:t>
      </w:r>
      <w:hyperlink w:anchor="ref-LiPapandonatosCalafat:2019">
        <w:r>
          <w:rPr>
            <w:rStyle w:val="Hyperlink"/>
          </w:rPr>
          <w:t xml:space="preserve">46</w:t>
        </w:r>
      </w:hyperlink>
      <w:r>
        <w:t xml:space="preserve">)</w:t>
      </w:r>
      <w:r>
        <w:t xml:space="preserve">.</w:t>
      </w:r>
      <w:r>
        <w:t xml:space="preserve"> </w:t>
      </w:r>
      <w:r>
        <w:t xml:space="preserve">Among phenols, some studies provide preliminary evidence of an association between BPA and ADHD in children aged 8 to 15 years</w:t>
      </w:r>
      <w:r>
        <w:t xml:space="preserve"> </w:t>
      </w:r>
      <w:r>
        <w:t xml:space="preserve">(</w:t>
      </w:r>
      <w:hyperlink w:anchor="ref-TewarAuingerBraun:2016">
        <w:r>
          <w:rPr>
            <w:rStyle w:val="Hyperlink"/>
          </w:rPr>
          <w:t xml:space="preserve">7</w:t>
        </w:r>
      </w:hyperlink>
      <w:r>
        <w:t xml:space="preserve">)</w:t>
      </w:r>
      <w:r>
        <w:t xml:space="preserve"> </w:t>
      </w:r>
      <w:r>
        <w:t xml:space="preserve">and in a case-control study of children aged 6 to 12 years</w:t>
      </w:r>
      <w:r>
        <w:t xml:space="preserve"> </w:t>
      </w:r>
      <w:r>
        <w:t xml:space="preserve">(</w:t>
      </w:r>
      <w:hyperlink w:anchor="ref-LiZhangKuang:2018">
        <w:r>
          <w:rPr>
            <w:rStyle w:val="Hyperlink"/>
          </w:rPr>
          <w:t xml:space="preserve">13</w:t>
        </w:r>
      </w:hyperlink>
      <w:r>
        <w:t xml:space="preserve">)</w:t>
      </w:r>
      <w:r>
        <w:t xml:space="preserve">, especially in boys. Except for working memory, there does not seem to be evidence of an association between BPA and cognitive abilities in Spanish boys aged 9 to 11 years</w:t>
      </w:r>
      <w:r>
        <w:t xml:space="preserve"> </w:t>
      </w:r>
      <w:r>
        <w:t xml:space="preserve">(</w:t>
      </w:r>
      <w:hyperlink w:anchor="X71fca68020aad3c79232160399444b9923ab76e">
        <w:r>
          <w:rPr>
            <w:rStyle w:val="Hyperlink"/>
          </w:rPr>
          <w:t xml:space="preserve">14</w:t>
        </w:r>
      </w:hyperlink>
      <w:r>
        <w:t xml:space="preserve">)</w:t>
      </w:r>
      <w:r>
        <w:t xml:space="preserve">.</w:t>
      </w:r>
      <w:r>
        <w:t xml:space="preserve"> </w:t>
      </w:r>
      <w:r>
        <w:t xml:space="preserve">Few studies have looked into different classes of non-persistent EDCs. Shoaff et al., for instance, investigated cross-sectional associations between multiple EDCs and ADHD-related behaviors in 15-year old adolescents, finding a higher risk of ADHD-related behavior problems with higher levels of antiandrogenic phthalate metabolites (MEHP, MEHHP, MEOHP, MECPP, MnBP, MiBP, MBzP, monohydroxyisobutyl phthalate (MHiBP), monocarboxyoctyl phthalate (MCOP), monoisononyl phthalate (MNP), and monohydroxybutyl phthalate (MHBP)), especially in boys</w:t>
      </w:r>
      <w:r>
        <w:t xml:space="preserve"> </w:t>
      </w:r>
      <w:r>
        <w:t xml:space="preserve">(</w:t>
      </w:r>
      <w:hyperlink w:anchor="ref-ShoaffCoullWeuve:2020">
        <w:r>
          <w:rPr>
            <w:rStyle w:val="Hyperlink"/>
          </w:rPr>
          <w:t xml:space="preserve">15</w:t>
        </w:r>
      </w:hyperlink>
      <w:r>
        <w:t xml:space="preserve">)</w:t>
      </w:r>
      <w:r>
        <w:t xml:space="preserve">.</w:t>
      </w:r>
    </w:p>
    <w:p>
      <w:pPr>
        <w:pStyle w:val="BodyText"/>
      </w:pPr>
      <w:r>
        <w:t xml:space="preserve">We are not aware of other epidemiological studies investigating childhood exposure to phthalates metabolites, phenols, and OP pesticides, in relation to urinary glucocorticosteroid levels in childhood. Prior epidemiological research provides preliminary evidence for an association between certain non-persistent EDCs with higher levels of glucocorticoids</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Repeated measures up to 15 months of age of the phthalate metabolites MEHHP, MEOHP, MiBP, and MnBP showed positive associations with free cortisol in Korean children, with no effect modification by sex</w:t>
      </w:r>
      <w:r>
        <w:t xml:space="preserve"> </w:t>
      </w:r>
      <w:r>
        <w:t xml:space="preserve">(</w:t>
      </w:r>
      <w:hyperlink w:anchor="ref-KimLeeMoon:2018">
        <w:r>
          <w:rPr>
            <w:rStyle w:val="Hyperlink"/>
          </w:rPr>
          <w:t xml:space="preserve">18</w:t>
        </w:r>
      </w:hyperlink>
      <w:r>
        <w:t xml:space="preserve">)</w:t>
      </w:r>
      <w:r>
        <w:t xml:space="preserve">. In a cohort of Chinese pregnant women, phthalate metabolites were measured at 14, 24, and 36 weeks of gestation, and the glucocorticoids cortisol and cortisone were measured in cord blood. Third-trimester levels of MEHP were positively associated with cortisol, while MECPP and MEOHP were negatively associated with cortisone</w:t>
      </w:r>
      <w:r>
        <w:t xml:space="preserve"> </w:t>
      </w:r>
      <w:r>
        <w:t xml:space="preserve">(</w:t>
      </w:r>
      <w:hyperlink w:anchor="ref-SunLiJin:2018">
        <w:r>
          <w:rPr>
            <w:rStyle w:val="Hyperlink"/>
          </w:rPr>
          <w:t xml:space="preserve">19</w:t>
        </w:r>
      </w:hyperlink>
      <w:r>
        <w:t xml:space="preserve">)</w:t>
      </w:r>
      <w:r>
        <w:t xml:space="preserve">. Time- and chemical-dependent sex differences were also found: during the third trimester, MEHHP and MEOHP were positively associated with cortisol in females, while negatively associated in males</w:t>
      </w:r>
      <w:r>
        <w:t xml:space="preserve"> </w:t>
      </w:r>
      <w:r>
        <w:t xml:space="preserve">(</w:t>
      </w:r>
      <w:hyperlink w:anchor="ref-SunLiJin:2018">
        <w:r>
          <w:rPr>
            <w:rStyle w:val="Hyperlink"/>
          </w:rPr>
          <w:t xml:space="preserve">19</w:t>
        </w:r>
      </w:hyperlink>
      <w:r>
        <w:t xml:space="preserve">)</w:t>
      </w:r>
      <w:r>
        <w:t xml:space="preserve">. In a longitudinal study, a mixture of several phthalate metabolites, driven by MEP, MiBP, and MBzP, measured in childhood, showed a positive association with hair cortisol measured at 12 years of age</w:t>
      </w:r>
      <w:r>
        <w:t xml:space="preserve"> </w:t>
      </w:r>
      <w:r>
        <w:t xml:space="preserve">(</w:t>
      </w:r>
      <w:hyperlink w:anchor="ref-SearsLiuLanphear:2023">
        <w:r>
          <w:rPr>
            <w:rStyle w:val="Hyperlink"/>
          </w:rPr>
          <w:t xml:space="preserve">20</w:t>
        </w:r>
      </w:hyperlink>
      <w:r>
        <w:t xml:space="preserve">)</w:t>
      </w:r>
      <w:r>
        <w:t xml:space="preserve">. While in the present study we did find positive MCs between some phthalate metabolites (MEHP, oh-MiNP, and oxo-MiNP) and the glucocorticosteroids, there are important differences with the previous studies. First, exposure assessment was performed during gestation</w:t>
      </w:r>
      <w:r>
        <w:t xml:space="preserve"> </w:t>
      </w:r>
      <w:r>
        <w:t xml:space="preserve">(</w:t>
      </w:r>
      <w:hyperlink w:anchor="ref-SunLiJin:2018">
        <w:r>
          <w:rPr>
            <w:rStyle w:val="Hyperlink"/>
          </w:rPr>
          <w:t xml:space="preserve">19</w:t>
        </w:r>
      </w:hyperlink>
      <w:r>
        <w:t xml:space="preserve">)</w:t>
      </w:r>
      <w:r>
        <w:t xml:space="preserve"> </w:t>
      </w:r>
      <w:r>
        <w:t xml:space="preserve">or the first 15 months of life</w:t>
      </w:r>
      <w:r>
        <w:t xml:space="preserve"> </w:t>
      </w:r>
      <w:r>
        <w:t xml:space="preserve">(</w:t>
      </w:r>
      <w:hyperlink w:anchor="ref-KimLeeMoon:2018">
        <w:r>
          <w:rPr>
            <w:rStyle w:val="Hyperlink"/>
          </w:rPr>
          <w:t xml:space="preserve">18</w:t>
        </w:r>
      </w:hyperlink>
      <w:r>
        <w:t xml:space="preserve">)</w:t>
      </w:r>
      <w:r>
        <w:t xml:space="preserve">, not during childhood. Second, the glucocorticosteroids were measured in other matrices, specifically in cord blood</w:t>
      </w:r>
      <w:r>
        <w:t xml:space="preserve"> </w:t>
      </w:r>
      <w:r>
        <w:t xml:space="preserve">(</w:t>
      </w:r>
      <w:hyperlink w:anchor="ref-SunLiJin:2018">
        <w:r>
          <w:rPr>
            <w:rStyle w:val="Hyperlink"/>
          </w:rPr>
          <w:t xml:space="preserve">19</w:t>
        </w:r>
      </w:hyperlink>
      <w:r>
        <w:t xml:space="preserve">)</w:t>
      </w:r>
      <w:r>
        <w:t xml:space="preserve"> </w:t>
      </w:r>
      <w:r>
        <w:t xml:space="preserve">or hair</w:t>
      </w:r>
      <w:r>
        <w:t xml:space="preserve"> </w:t>
      </w:r>
      <w:r>
        <w:t xml:space="preserve">(</w:t>
      </w:r>
      <w:hyperlink w:anchor="ref-SearsLiuLanphear:2023">
        <w:r>
          <w:rPr>
            <w:rStyle w:val="Hyperlink"/>
          </w:rPr>
          <w:t xml:space="preserve">20</w:t>
        </w:r>
      </w:hyperlink>
      <w:r>
        <w:t xml:space="preserve">)</w:t>
      </w:r>
      <w:r>
        <w:t xml:space="preserve">. Finally,</w:t>
      </w:r>
      <w:r>
        <w:t xml:space="preserve"> </w:t>
      </w:r>
      <w:r>
        <w:t xml:space="preserve">(</w:t>
      </w:r>
      <w:hyperlink w:anchor="ref-SearsLiuLanphear:2023">
        <w:r>
          <w:rPr>
            <w:rStyle w:val="Hyperlink"/>
          </w:rPr>
          <w:t xml:space="preserve">20</w:t>
        </w:r>
      </w:hyperlink>
      <w:r>
        <w:t xml:space="preserve">)</w:t>
      </w:r>
      <w:r>
        <w:t xml:space="preserve"> </w:t>
      </w:r>
      <w:r>
        <w:t xml:space="preserve">investigated mixture effects. Contrary to these studies</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we did find effect modification by sex.</w:t>
      </w:r>
    </w:p>
    <w:p>
      <w:pPr>
        <w:pStyle w:val="BodyText"/>
      </w:pPr>
      <w:r>
        <w:t xml:space="preserve">Adding to these epidemiological studies, previous toxicological research provide evidence for the inhibition by phthalates of human 11</w:t>
      </w:r>
      <m:oMath>
        <m:r>
          <m:t>β</m:t>
        </m:r>
      </m:oMath>
      <w:r>
        <w:t xml:space="preserve">-hydroxysteroid dehydrogenase 2 (11</w:t>
      </w:r>
      <m:oMath>
        <m:r>
          <m:t>β</m:t>
        </m:r>
      </m:oMath>
      <w:r>
        <w:t xml:space="preserve">-HSD2) activity, responsible for the conversion of active cortisol into inactive cortisone</w:t>
      </w:r>
      <w:r>
        <w:t xml:space="preserve"> </w:t>
      </w:r>
      <w:r>
        <w:t xml:space="preserve">(</w:t>
      </w:r>
      <w:hyperlink w:anchor="ref-ZhaoChuHuang:2010">
        <w:r>
          <w:rPr>
            <w:rStyle w:val="Hyperlink"/>
          </w:rPr>
          <w:t xml:space="preserve">50</w:t>
        </w:r>
      </w:hyperlink>
      <w:r>
        <w:t xml:space="preserve">,</w:t>
      </w:r>
      <w:hyperlink w:anchor="ref-MaLianDong:2011">
        <w:r>
          <w:rPr>
            <w:rStyle w:val="Hyperlink"/>
          </w:rPr>
          <w:t xml:space="preserve">51</w:t>
        </w:r>
      </w:hyperlink>
      <w:r>
        <w:t xml:space="preserve">)</w:t>
      </w:r>
      <w:r>
        <w:t xml:space="preserve">. There is also</w:t>
      </w:r>
      <w:r>
        <w:t xml:space="preserve"> </w:t>
      </w:r>
      <w:r>
        <w:rPr>
          <w:i/>
          <w:iCs/>
        </w:rPr>
        <w:t xml:space="preserve">in silico</w:t>
      </w:r>
      <w:r>
        <w:t xml:space="preserve"> </w:t>
      </w:r>
      <w:r>
        <w:t xml:space="preserve">evidence suggesting that BPA, a phenol, and Triazophos (TAP), a organophosphorus insecticide, can bind to the human glucocorticoid receptor</w:t>
      </w:r>
      <w:r>
        <w:t xml:space="preserve"> </w:t>
      </w:r>
      <w:r>
        <w:t xml:space="preserve">(</w:t>
      </w:r>
      <w:hyperlink w:anchor="ref-PrasanthDivyaSadasivan:2010">
        <w:r>
          <w:rPr>
            <w:rStyle w:val="Hyperlink"/>
          </w:rPr>
          <w:t xml:space="preserve">52</w:t>
        </w:r>
      </w:hyperlink>
      <w:r>
        <w:t xml:space="preserve">,</w:t>
      </w:r>
      <w:hyperlink w:anchor="ref-YangLiRen:2019">
        <w:r>
          <w:rPr>
            <w:rStyle w:val="Hyperlink"/>
          </w:rPr>
          <w:t xml:space="preserve">53</w:t>
        </w:r>
      </w:hyperlink>
      <w:r>
        <w:t xml:space="preserve">)</w:t>
      </w:r>
      <w:r>
        <w:t xml:space="preserve">.</w:t>
      </w:r>
    </w:p>
    <w:p>
      <w:pPr>
        <w:pStyle w:val="BodyText"/>
      </w:pPr>
      <w:r>
        <w:t xml:space="preserve">We are also not aware of prior epidemiological studies specifically investigating the effects of elevated levels of glucocorticosteroids in relation to attentional function, although there is evidence that under- or over-production of glucocorticosteroids interfere with the normal development of the brain</w:t>
      </w:r>
      <w:r>
        <w:t xml:space="preserve"> </w:t>
      </w:r>
      <w:r>
        <w:t xml:space="preserve">(</w:t>
      </w:r>
      <w:hyperlink w:anchor="ref-LupienMcEwenGunnar:2009">
        <w:r>
          <w:rPr>
            <w:rStyle w:val="Hyperlink"/>
          </w:rPr>
          <w:t xml:space="preserve">21</w:t>
        </w:r>
      </w:hyperlink>
      <w:r>
        <w:t xml:space="preserve">)</w:t>
      </w:r>
      <w:r>
        <w:t xml:space="preserve">. While we did find sex-specific evidence of an effect, their clinical relevance is questionable.</w:t>
      </w:r>
    </w:p>
    <w:p>
      <w:pPr>
        <w:pStyle w:val="BodyText"/>
      </w:pPr>
      <w:r>
        <w:t xml:space="preserve">Our findings should be interpreted in light of the following limitations and strengths. 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Although we included a wide range of confounders there is the possibility, as with other observational studies, of residual confounding, which might lead to a bias away from the null. Some of the confounders indicated in the adjustment sets had to be removed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BodyText"/>
      </w:pPr>
      <w:r>
        <w:t xml:space="preserve">Strengths of the present study include the use of pooled urine samples for chemical assessment to obtain more representative long-term exposures, since it is known that these specific EDCs have very short half-lives</w:t>
      </w:r>
      <w:r>
        <w:t xml:space="preserve"> </w:t>
      </w:r>
      <w:r>
        <w:t xml:space="preserve">(</w:t>
      </w:r>
      <w:hyperlink w:anchor="ref-PerrierGiorgis-AllemandSlama:2016">
        <w:r>
          <w:rPr>
            <w:rStyle w:val="Hyperlink"/>
          </w:rPr>
          <w:t xml:space="preserve">54</w:t>
        </w:r>
      </w:hyperlink>
      <w:r>
        <w:t xml:space="preserve">,</w:t>
      </w:r>
      <w:hyperlink w:anchor="ref-CasasBasaganaSakhi:2018">
        <w:r>
          <w:rPr>
            <w:rStyle w:val="Hyperlink"/>
          </w:rPr>
          <w:t xml:space="preserve">55</w:t>
        </w:r>
      </w:hyperlink>
      <w:r>
        <w:t xml:space="preserve">)</w:t>
      </w:r>
      <w:r>
        <w:t xml:space="preserve">. We decided to model both the</w:t>
      </w:r>
      <w:r>
        <w:t xml:space="preserve"> </w:t>
      </w:r>
      <w:r>
        <w:rPr>
          <w:i/>
          <w:iCs/>
        </w:rPr>
        <w:t xml:space="preserve">treatment</w:t>
      </w:r>
      <w:r>
        <w:t xml:space="preserve"> </w:t>
      </w:r>
      <w:r>
        <w:t xml:space="preserve">mechanisms, for the estimation of balancing weights, and the outcomes, with traditional covariates adjustment, to try to obtain</w:t>
      </w:r>
      <w:r>
        <w:t xml:space="preserve"> </w:t>
      </w:r>
      <w:r>
        <w:rPr>
          <w:i/>
          <w:iCs/>
        </w:rPr>
        <w:t xml:space="preserve">doubly robust</w:t>
      </w:r>
      <w:r>
        <w:t xml:space="preserve"> </w:t>
      </w:r>
      <w:r>
        <w:t xml:space="preserve">effect estimates. Finally, we decided not to interpret our results by focusing on the estimated coefficients of possibly misspecified regression models, but by making use of the g-computation procedure and estimate MCs.</w:t>
      </w:r>
    </w:p>
    <w:p>
      <w:pPr>
        <w:pStyle w:val="BodyText"/>
      </w:pPr>
      <w:r>
        <w:t xml:space="preserve">In conclusion, in a study of 1,297 children from 6 European birth cohorts, we observed that (i) exposure to non-persistent EDCs in childhood might have short-term effects on HRT-SE in childhood, (ii) exposure to non-persistent EDCs in childhood might disrupt the HPA axis in childhood, and (iii) disruption of the HPA axis in childhood might have short-term, sex-specific effects on HRT-SE. Future studies should investigate how glucocorticosteroids might mediate the adverse effects of exposure to non-persistent EDCs on childhood neurodevelopment (too broad) in larger populations.</w:t>
      </w:r>
    </w:p>
    <w:p>
      <w:r>
        <w:br w:type="page"/>
      </w:r>
    </w:p>
    <w:bookmarkEnd w:id="35"/>
    <w:bookmarkStart w:id="145" w:name="references"/>
    <w:p>
      <w:pPr>
        <w:pStyle w:val="Heading1"/>
      </w:pPr>
      <w:r>
        <w:t xml:space="preserve">References</w:t>
      </w:r>
    </w:p>
    <w:bookmarkStart w:id="144" w:name="refs"/>
    <w:bookmarkStart w:id="37" w:name="ref-GrandjeanLandrigan:2014"/>
    <w:p>
      <w:pPr>
        <w:pStyle w:val="Bibliography"/>
      </w:pPr>
      <w:r>
        <w:t xml:space="preserve">1.</w:t>
      </w:r>
      <w:r>
        <w:t xml:space="preserve"> </w:t>
      </w:r>
      <w:r>
        <w:t xml:space="preserve">	</w:t>
      </w:r>
      <w:r>
        <w:t xml:space="preserve">Grandjean P, Landrigan PJ.</w:t>
      </w:r>
      <w:r>
        <w:t xml:space="preserve"> </w:t>
      </w:r>
      <w:hyperlink r:id="rId36">
        <w:r>
          <w:rPr>
            <w:rStyle w:val="Hyperlink"/>
          </w:rPr>
          <w:t xml:space="preserve">Neurobehavioural effects of developmental toxicity</w:t>
        </w:r>
      </w:hyperlink>
      <w:r>
        <w:t xml:space="preserve">.</w:t>
      </w:r>
      <w:r>
        <w:t xml:space="preserve"> </w:t>
      </w:r>
      <w:r>
        <w:rPr>
          <w:i/>
          <w:iCs/>
        </w:rPr>
        <w:t xml:space="preserve">Lancet Neurol</w:t>
      </w:r>
      <w:r>
        <w:t xml:space="preserve">. 2014;13(3):330–338.</w:t>
      </w:r>
      <w:r>
        <w:t xml:space="preserve"> </w:t>
      </w:r>
    </w:p>
    <w:bookmarkEnd w:id="37"/>
    <w:bookmarkStart w:id="39" w:name="Xd81cf38a3b251ec377f8aa13b097ea9d0c190e3"/>
    <w:p>
      <w:pPr>
        <w:pStyle w:val="Bibliography"/>
      </w:pPr>
      <w:r>
        <w:t xml:space="preserve">2.</w:t>
      </w:r>
      <w:r>
        <w:t xml:space="preserve"> </w:t>
      </w:r>
      <w:r>
        <w:t xml:space="preserve">	</w:t>
      </w:r>
      <w:r>
        <w:t xml:space="preserve">Ramírez V, Gálvez-Ontiveros Y, González-Domenech PJ, et al. Role of endocrine disrupting chemicals in children’s neurodevelopment.</w:t>
      </w:r>
      <w:r>
        <w:t xml:space="preserve"> </w:t>
      </w:r>
      <w:r>
        <w:rPr>
          <w:i/>
          <w:iCs/>
        </w:rPr>
        <w:t xml:space="preserve">Environmental Research</w:t>
      </w:r>
      <w:r>
        <w:t xml:space="preserve"> </w:t>
      </w:r>
      <w:r>
        <w:t xml:space="preserve">[electronic article]. 2022;203:111890. (</w:t>
      </w:r>
      <w:hyperlink r:id="rId38">
        <w:r>
          <w:rPr>
            <w:rStyle w:val="Hyperlink"/>
          </w:rPr>
          <w:t xml:space="preserve">https://www.sciencedirect.com/science/article/pii/S0013935121011853</w:t>
        </w:r>
      </w:hyperlink>
      <w:r>
        <w:t xml:space="preserve">). (Accessed January 31, 2023)</w:t>
      </w:r>
    </w:p>
    <w:bookmarkEnd w:id="39"/>
    <w:bookmarkStart w:id="41" w:name="ref-BouchardBellingerWright:2010"/>
    <w:p>
      <w:pPr>
        <w:pStyle w:val="Bibliography"/>
      </w:pPr>
      <w:r>
        <w:t xml:space="preserve">3.</w:t>
      </w:r>
      <w:r>
        <w:t xml:space="preserve"> </w:t>
      </w:r>
      <w:r>
        <w:t xml:space="preserve">	</w:t>
      </w:r>
      <w:r>
        <w:t xml:space="preserve">Bouchard MF, Bellinger DC, Wright RO, et al.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
          <w:iCs/>
        </w:rPr>
        <w:t xml:space="preserve">Pediatrics</w:t>
      </w:r>
      <w:r>
        <w:t xml:space="preserve"> </w:t>
      </w:r>
      <w:r>
        <w:t xml:space="preserve">[electronic article]. 2010;125(6):e1270–e1277. (</w:t>
      </w:r>
      <w:hyperlink r:id="rId40">
        <w:r>
          <w:rPr>
            <w:rStyle w:val="Hyperlink"/>
          </w:rPr>
          <w:t xml:space="preserve">https://doi.org/10.1542/peds.2009-3058</w:t>
        </w:r>
      </w:hyperlink>
      <w:r>
        <w:t xml:space="preserve">). (Accessed December 29, 2023)</w:t>
      </w:r>
    </w:p>
    <w:bookmarkEnd w:id="41"/>
    <w:bookmarkStart w:id="43"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
          <w:iCs/>
        </w:rPr>
        <w:t xml:space="preserve">Environment International</w:t>
      </w:r>
      <w:r>
        <w:t xml:space="preserve"> </w:t>
      </w:r>
      <w:r>
        <w:t xml:space="preserve">[electronic article]. 2015;85:229–237. (</w:t>
      </w:r>
      <w:hyperlink r:id="rId42">
        <w:r>
          <w:rPr>
            <w:rStyle w:val="Hyperlink"/>
          </w:rPr>
          <w:t xml:space="preserve">https://www.sciencedirect.com/science/article/pii/S0160412015300593</w:t>
        </w:r>
      </w:hyperlink>
      <w:r>
        <w:t xml:space="preserve">). (Accessed December 29, 2023)</w:t>
      </w:r>
    </w:p>
    <w:bookmarkEnd w:id="43"/>
    <w:bookmarkStart w:id="45"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
          <w:iCs/>
        </w:rPr>
        <w:t xml:space="preserve">PLOS ONE</w:t>
      </w:r>
      <w:r>
        <w:t xml:space="preserve"> </w:t>
      </w:r>
      <w:r>
        <w:t xml:space="preserve">[electronic article]. 2015;10(6):e0131910. (</w:t>
      </w:r>
      <w:hyperlink r:id="rId44">
        <w:r>
          <w:rPr>
            <w:rStyle w:val="Hyperlink"/>
          </w:rPr>
          <w:t xml:space="preserve">https://journals.plos.org/plosone/article?id=10.1371/journal.pone.0131910</w:t>
        </w:r>
      </w:hyperlink>
      <w:r>
        <w:t xml:space="preserve">). (Accessed December 29, 2023)</w:t>
      </w:r>
    </w:p>
    <w:bookmarkEnd w:id="45"/>
    <w:bookmarkStart w:id="47"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
          <w:iCs/>
        </w:rPr>
        <w:t xml:space="preserve">Environmental Health Perspectives</w:t>
      </w:r>
      <w:r>
        <w:t xml:space="preserve"> </w:t>
      </w:r>
      <w:r>
        <w:t xml:space="preserve">[electronic article]. 2016;124(5):674–680. (</w:t>
      </w:r>
      <w:hyperlink r:id="rId46">
        <w:r>
          <w:rPr>
            <w:rStyle w:val="Hyperlink"/>
          </w:rPr>
          <w:t xml:space="preserve">https://ehp.niehs.nih.gov/doi/10.1289/ehp.1409472</w:t>
        </w:r>
      </w:hyperlink>
      <w:r>
        <w:t xml:space="preserve">). (Accessed December 29, 2023)</w:t>
      </w:r>
    </w:p>
    <w:bookmarkEnd w:id="47"/>
    <w:bookmarkStart w:id="49"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
          <w:iCs/>
        </w:rPr>
        <w:t xml:space="preserve">Environmental Research</w:t>
      </w:r>
      <w:r>
        <w:t xml:space="preserve"> </w:t>
      </w:r>
      <w:r>
        <w:t xml:space="preserve">[electronic article]. 2016;150:112–118. (</w:t>
      </w:r>
      <w:hyperlink r:id="rId48">
        <w:r>
          <w:rPr>
            <w:rStyle w:val="Hyperlink"/>
          </w:rPr>
          <w:t xml:space="preserve">https://www.sciencedirect.com/science/article/pii/S0013935116302110</w:t>
        </w:r>
      </w:hyperlink>
      <w:r>
        <w:t xml:space="preserve">). (Accessed December 29, 2023)</w:t>
      </w:r>
    </w:p>
    <w:bookmarkEnd w:id="49"/>
    <w:bookmarkStart w:id="51"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
          <w:iCs/>
        </w:rPr>
        <w:t xml:space="preserve">Andrology</w:t>
      </w:r>
      <w:r>
        <w:t xml:space="preserve"> </w:t>
      </w:r>
      <w:r>
        <w:t xml:space="preserve">[electronic article]. 2016;4(4):695–705. (</w:t>
      </w:r>
      <w:hyperlink r:id="rId50">
        <w:r>
          <w:rPr>
            <w:rStyle w:val="Hyperlink"/>
          </w:rPr>
          <w:t xml:space="preserve">https://onlinelibrary.wiley.com/doi/abs/10.1111/andr.12183</w:t>
        </w:r>
      </w:hyperlink>
      <w:r>
        <w:t xml:space="preserve">). (Accessed December 29, 2023)</w:t>
      </w:r>
    </w:p>
    <w:bookmarkEnd w:id="51"/>
    <w:bookmarkStart w:id="53"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
          <w:iCs/>
        </w:rPr>
        <w:t xml:space="preserve">Environmental Research</w:t>
      </w:r>
      <w:r>
        <w:t xml:space="preserve"> </w:t>
      </w:r>
      <w:r>
        <w:t xml:space="preserve">[electronic article]. 2017;156:158–166. (</w:t>
      </w:r>
      <w:hyperlink r:id="rId52">
        <w:r>
          <w:rPr>
            <w:rStyle w:val="Hyperlink"/>
          </w:rPr>
          <w:t xml:space="preserve">https://www.sciencedirect.com/science/article/pii/S0013935116309112</w:t>
        </w:r>
      </w:hyperlink>
      <w:r>
        <w:t xml:space="preserve">). (Accessed December 29, 2023)</w:t>
      </w:r>
    </w:p>
    <w:bookmarkEnd w:id="53"/>
    <w:bookmarkStart w:id="55" w:name="ref-KimHongShin:2017"/>
    <w:p>
      <w:pPr>
        <w:pStyle w:val="Bibliography"/>
      </w:pPr>
      <w:r>
        <w:t xml:space="preserve">10.</w:t>
      </w:r>
      <w:r>
        <w:t xml:space="preserve"> </w:t>
      </w:r>
      <w:r>
        <w:t xml:space="preserve">	</w:t>
      </w:r>
      <w:r>
        <w:t xml:space="preserve">Kim JI, Hong Y-C, Shin CH, et al. The effects of maternal and children phthalate exposure on the neurocognitive function of 6-year-old children.</w:t>
      </w:r>
      <w:r>
        <w:t xml:space="preserve"> </w:t>
      </w:r>
      <w:r>
        <w:rPr>
          <w:i/>
          <w:iCs/>
        </w:rPr>
        <w:t xml:space="preserve">Environmental Research</w:t>
      </w:r>
      <w:r>
        <w:t xml:space="preserve"> </w:t>
      </w:r>
      <w:r>
        <w:t xml:space="preserve">[electronic article]. 2017;156:519–525. (</w:t>
      </w:r>
      <w:hyperlink r:id="rId54">
        <w:r>
          <w:rPr>
            <w:rStyle w:val="Hyperlink"/>
          </w:rPr>
          <w:t xml:space="preserve">https://www.sciencedirect.com/science/article/pii/S0013935116312828</w:t>
        </w:r>
      </w:hyperlink>
      <w:r>
        <w:t xml:space="preserve">). (Accessed December 29, 2023)</w:t>
      </w:r>
    </w:p>
    <w:bookmarkEnd w:id="55"/>
    <w:bookmarkStart w:id="57"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
          <w:iCs/>
        </w:rPr>
        <w:t xml:space="preserve">Environmental Research</w:t>
      </w:r>
      <w:r>
        <w:t xml:space="preserve"> </w:t>
      </w:r>
      <w:r>
        <w:t xml:space="preserve">[electronic article]. 2017;158:737–747. (</w:t>
      </w:r>
      <w:hyperlink r:id="rId56">
        <w:r>
          <w:rPr>
            <w:rStyle w:val="Hyperlink"/>
          </w:rPr>
          <w:t xml:space="preserve">https://www.sciencedirect.com/science/article/pii/S0013935117301044</w:t>
        </w:r>
      </w:hyperlink>
      <w:r>
        <w:t xml:space="preserve">). (Accessed January 31, 2023)</w:t>
      </w:r>
    </w:p>
    <w:bookmarkEnd w:id="57"/>
    <w:bookmarkStart w:id="59"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
          <w:iCs/>
        </w:rPr>
        <w:t xml:space="preserve">Nat Rev Endocrinol</w:t>
      </w:r>
      <w:r>
        <w:t xml:space="preserve"> </w:t>
      </w:r>
      <w:r>
        <w:t xml:space="preserve">[electronic article]. 2017;13(3, 3):161–173. (</w:t>
      </w:r>
      <w:hyperlink r:id="rId58">
        <w:r>
          <w:rPr>
            <w:rStyle w:val="Hyperlink"/>
          </w:rPr>
          <w:t xml:space="preserve">https://www.nature.com/articles/nrendo.2016.186</w:t>
        </w:r>
      </w:hyperlink>
      <w:r>
        <w:t xml:space="preserve">). (Accessed December 19, 2023)</w:t>
      </w:r>
    </w:p>
    <w:bookmarkEnd w:id="59"/>
    <w:bookmarkStart w:id="61"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
          <w:iCs/>
        </w:rPr>
        <w:t xml:space="preserve">Environmental Pollution</w:t>
      </w:r>
      <w:r>
        <w:t xml:space="preserve"> </w:t>
      </w:r>
      <w:r>
        <w:t xml:space="preserve">[electronic article]. 2018;235:141–149. (</w:t>
      </w:r>
      <w:hyperlink r:id="rId60">
        <w:r>
          <w:rPr>
            <w:rStyle w:val="Hyperlink"/>
          </w:rPr>
          <w:t xml:space="preserve">https://www.sciencedirect.com/science/article/pii/S0269749117327884</w:t>
        </w:r>
      </w:hyperlink>
      <w:r>
        <w:t xml:space="preserve">). (Accessed December 29, 2023)</w:t>
      </w:r>
    </w:p>
    <w:bookmarkEnd w:id="61"/>
    <w:bookmarkStart w:id="63"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
          <w:iCs/>
        </w:rPr>
        <w:t xml:space="preserve">NeuroToxicology</w:t>
      </w:r>
      <w:r>
        <w:t xml:space="preserve"> </w:t>
      </w:r>
      <w:r>
        <w:t xml:space="preserve">[electronic article]. 2019;74:162–171. (</w:t>
      </w:r>
      <w:hyperlink r:id="rId62">
        <w:r>
          <w:rPr>
            <w:rStyle w:val="Hyperlink"/>
          </w:rPr>
          <w:t xml:space="preserve">https://www.sciencedirect.com/science/article/pii/S0161813X19300543</w:t>
        </w:r>
      </w:hyperlink>
      <w:r>
        <w:t xml:space="preserve">). (Accessed December 29, 2023)</w:t>
      </w:r>
    </w:p>
    <w:bookmarkEnd w:id="63"/>
    <w:bookmarkStart w:id="65"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
          <w:iCs/>
        </w:rPr>
        <w:t xml:space="preserve">JAMA Network Open</w:t>
      </w:r>
      <w:r>
        <w:t xml:space="preserve"> </w:t>
      </w:r>
      <w:r>
        <w:t xml:space="preserve">[electronic article]. 2020;3(8):e2015041. (</w:t>
      </w:r>
      <w:hyperlink r:id="rId64">
        <w:r>
          <w:rPr>
            <w:rStyle w:val="Hyperlink"/>
          </w:rPr>
          <w:t xml:space="preserve">https://doi.org/10.1001/jamanetworkopen.2020.15041</w:t>
        </w:r>
      </w:hyperlink>
      <w:r>
        <w:t xml:space="preserve">). (Accessed December 29, 2023)</w:t>
      </w:r>
    </w:p>
    <w:bookmarkEnd w:id="65"/>
    <w:bookmarkStart w:id="67" w:name="ref-OhKimKannan:2023"/>
    <w:p>
      <w:pPr>
        <w:pStyle w:val="Bibliography"/>
      </w:pPr>
      <w:r>
        <w:t xml:space="preserve">16.</w:t>
      </w:r>
      <w:r>
        <w:t xml:space="preserve"> </w:t>
      </w:r>
      <w:r>
        <w:t xml:space="preserve">	</w:t>
      </w:r>
      <w:r>
        <w:t xml:space="preserve">Oh J, Kim K, Kannan K, et al.</w:t>
      </w:r>
      <w:r>
        <w:t xml:space="preserve"> </w:t>
      </w:r>
      <w:hyperlink r:id="rId66">
        <w:r>
          <w:rPr>
            <w:rStyle w:val="Hyperlink"/>
          </w:rPr>
          <w:t xml:space="preserve">Early childhood exposure to environmental phenols and parabens, phthalates, organophosphate pesticides, and trace elements in association with attention deficit hyperactivity disorder (</w:t>
        </w:r>
        <w:r>
          <w:rPr>
            <w:rStyle w:val="Hyperlink"/>
          </w:rPr>
          <w:t xml:space="preserve">ADHD</w:t>
        </w:r>
        <w:r>
          <w:rPr>
            <w:rStyle w:val="Hyperlink"/>
          </w:rPr>
          <w:t xml:space="preserve">) symptoms in the</w:t>
        </w:r>
        <w:r>
          <w:rPr>
            <w:rStyle w:val="Hyperlink"/>
          </w:rPr>
          <w:t xml:space="preserve"> </w:t>
        </w:r>
        <w:r>
          <w:rPr>
            <w:rStyle w:val="Hyperlink"/>
          </w:rPr>
          <w:t xml:space="preserve">CHARGE</w:t>
        </w:r>
        <w:r>
          <w:rPr>
            <w:rStyle w:val="Hyperlink"/>
          </w:rPr>
          <w:t xml:space="preserve"> </w:t>
        </w:r>
        <w:r>
          <w:rPr>
            <w:rStyle w:val="Hyperlink"/>
          </w:rPr>
          <w:t xml:space="preserve">study</w:t>
        </w:r>
      </w:hyperlink>
      <w:r>
        <w:t xml:space="preserve">.</w:t>
      </w:r>
      <w:r>
        <w:t xml:space="preserve"> </w:t>
      </w:r>
      <w:r>
        <w:rPr>
          <w:i/>
          <w:iCs/>
        </w:rPr>
        <w:t xml:space="preserve">Res Sq</w:t>
      </w:r>
      <w:r>
        <w:t xml:space="preserve">. 2023;rs.3.rs–2565914.</w:t>
      </w:r>
      <w:r>
        <w:t xml:space="preserve"> </w:t>
      </w:r>
    </w:p>
    <w:bookmarkEnd w:id="67"/>
    <w:bookmarkStart w:id="69"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
          <w:iCs/>
        </w:rPr>
        <w:t xml:space="preserve">Neurotoxicology and Teratology</w:t>
      </w:r>
      <w:r>
        <w:t xml:space="preserve"> </w:t>
      </w:r>
      <w:r>
        <w:t xml:space="preserve">[electronic article]. 2023;96:107161. (</w:t>
      </w:r>
      <w:hyperlink r:id="rId68">
        <w:r>
          <w:rPr>
            <w:rStyle w:val="Hyperlink"/>
          </w:rPr>
          <w:t xml:space="preserve">https://www.sciencedirect.com/science/article/pii/S0892036223000119</w:t>
        </w:r>
      </w:hyperlink>
      <w:r>
        <w:t xml:space="preserve">). (Accessed November 16, 2023)</w:t>
      </w:r>
    </w:p>
    <w:bookmarkEnd w:id="69"/>
    <w:bookmarkStart w:id="71"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
          <w:iCs/>
        </w:rPr>
        <w:t xml:space="preserve">Science of The Total Environment</w:t>
      </w:r>
      <w:r>
        <w:t xml:space="preserve"> </w:t>
      </w:r>
      <w:r>
        <w:t xml:space="preserve">[electronic article]. 2018;627:506–513. (</w:t>
      </w:r>
      <w:hyperlink r:id="rId70">
        <w:r>
          <w:rPr>
            <w:rStyle w:val="Hyperlink"/>
          </w:rPr>
          <w:t xml:space="preserve">https://www.sciencedirect.com/science/article/pii/S0048969718301475</w:t>
        </w:r>
      </w:hyperlink>
      <w:r>
        <w:t xml:space="preserve">). (Accessed December 26, 2023)</w:t>
      </w:r>
    </w:p>
    <w:bookmarkEnd w:id="71"/>
    <w:bookmarkStart w:id="73"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
          <w:iCs/>
        </w:rPr>
        <w:t xml:space="preserve">Environment International</w:t>
      </w:r>
      <w:r>
        <w:t xml:space="preserve"> </w:t>
      </w:r>
      <w:r>
        <w:t xml:space="preserve">[electronic article]. 2018;121:471–479. (</w:t>
      </w:r>
      <w:hyperlink r:id="rId72">
        <w:r>
          <w:rPr>
            <w:rStyle w:val="Hyperlink"/>
          </w:rPr>
          <w:t xml:space="preserve">https://www.sciencedirect.com/science/article/pii/S0160412018315113</w:t>
        </w:r>
      </w:hyperlink>
      <w:r>
        <w:t xml:space="preserve">). (Accessed November 9, 2023)</w:t>
      </w:r>
    </w:p>
    <w:bookmarkEnd w:id="73"/>
    <w:bookmarkStart w:id="75"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
          <w:iCs/>
        </w:rPr>
        <w:t xml:space="preserve">American Journal of Epidemiology</w:t>
      </w:r>
      <w:r>
        <w:t xml:space="preserve"> </w:t>
      </w:r>
      <w:r>
        <w:t xml:space="preserve">[electronic article]. 2023;kwad198. (</w:t>
      </w:r>
      <w:hyperlink r:id="rId74">
        <w:r>
          <w:rPr>
            <w:rStyle w:val="Hyperlink"/>
          </w:rPr>
          <w:t xml:space="preserve">https://doi.org/10.1093/aje/kwad198</w:t>
        </w:r>
      </w:hyperlink>
      <w:r>
        <w:t xml:space="preserve">). (Accessed November 16, 2023)</w:t>
      </w:r>
    </w:p>
    <w:bookmarkEnd w:id="75"/>
    <w:bookmarkStart w:id="77" w:name="ref-LupienMcEwenGunnar:2009"/>
    <w:p>
      <w:pPr>
        <w:pStyle w:val="Bibliography"/>
      </w:pPr>
      <w:r>
        <w:t xml:space="preserve">21.</w:t>
      </w:r>
      <w:r>
        <w:t xml:space="preserve"> </w:t>
      </w:r>
      <w:r>
        <w:t xml:space="preserve">	</w:t>
      </w:r>
      <w:r>
        <w:t xml:space="preserve">Lupien SJ, McEwen BS, Gunnar MR, et al. Effects of stress throughout the lifespan on the brain, behaviour and cognition.</w:t>
      </w:r>
      <w:r>
        <w:t xml:space="preserve"> </w:t>
      </w:r>
      <w:r>
        <w:rPr>
          <w:i/>
          <w:iCs/>
        </w:rPr>
        <w:t xml:space="preserve">Nat Rev Neurosci</w:t>
      </w:r>
      <w:r>
        <w:t xml:space="preserve"> </w:t>
      </w:r>
      <w:r>
        <w:t xml:space="preserve">[electronic article]. 2009;10(6, 6):434–445. (</w:t>
      </w:r>
      <w:hyperlink r:id="rId76">
        <w:r>
          <w:rPr>
            <w:rStyle w:val="Hyperlink"/>
          </w:rPr>
          <w:t xml:space="preserve">https://www.nature.com/articles/nrn2639</w:t>
        </w:r>
      </w:hyperlink>
      <w:r>
        <w:t xml:space="preserve">). (Accessed December 31, 2023)</w:t>
      </w:r>
    </w:p>
    <w:bookmarkEnd w:id="77"/>
    <w:bookmarkStart w:id="79" w:name="ref-VrijheidSlamaRobinson:2014"/>
    <w:p>
      <w:pPr>
        <w:pStyle w:val="Bibliography"/>
      </w:pPr>
      <w:r>
        <w:t xml:space="preserve">22.</w:t>
      </w:r>
      <w:r>
        <w:t xml:space="preserve"> </w:t>
      </w:r>
      <w:r>
        <w:t xml:space="preserve">	</w:t>
      </w:r>
      <w:r>
        <w:t xml:space="preserve">Vrijheid M, Slama R, Robinson O, et al.</w:t>
      </w:r>
      <w:r>
        <w:t xml:space="preserve"> </w:t>
      </w:r>
      <w:hyperlink r:id="rId78">
        <w:r>
          <w:rPr>
            <w:rStyle w:val="Hyperlink"/>
          </w:rPr>
          <w:t xml:space="preserve">The human early-life exposome (</w:t>
        </w:r>
        <w:r>
          <w:rPr>
            <w:rStyle w:val="Hyperlink"/>
          </w:rPr>
          <w:t xml:space="preserve">HELIX</w:t>
        </w:r>
        <w:r>
          <w:rPr>
            <w:rStyle w:val="Hyperlink"/>
          </w:rPr>
          <w:t xml:space="preserve">): Project rationale and design</w:t>
        </w:r>
      </w:hyperlink>
      <w:r>
        <w:t xml:space="preserve">.</w:t>
      </w:r>
      <w:r>
        <w:t xml:space="preserve"> </w:t>
      </w:r>
      <w:r>
        <w:rPr>
          <w:i/>
          <w:iCs/>
        </w:rPr>
        <w:t xml:space="preserve">Environ Health Perspect</w:t>
      </w:r>
      <w:r>
        <w:t xml:space="preserve">. 2014;122(6):535–544.</w:t>
      </w:r>
      <w:r>
        <w:t xml:space="preserve"> </w:t>
      </w:r>
    </w:p>
    <w:bookmarkEnd w:id="79"/>
    <w:bookmarkStart w:id="81"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
          <w:iCs/>
        </w:rPr>
        <w:t xml:space="preserve">International Journal of Epidemiology</w:t>
      </w:r>
      <w:r>
        <w:t xml:space="preserve"> </w:t>
      </w:r>
      <w:r>
        <w:t xml:space="preserve">[electronic article]. 2013;42(4):978–991. (</w:t>
      </w:r>
      <w:hyperlink r:id="rId80">
        <w:r>
          <w:rPr>
            <w:rStyle w:val="Hyperlink"/>
          </w:rPr>
          <w:t xml:space="preserve">https://doi.org/10.1093/ije/dys112</w:t>
        </w:r>
      </w:hyperlink>
      <w:r>
        <w:t xml:space="preserve">). (Accessed December 19, 2023)</w:t>
      </w:r>
    </w:p>
    <w:bookmarkEnd w:id="81"/>
    <w:bookmarkStart w:id="83"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
          <w:iCs/>
        </w:rPr>
        <w:t xml:space="preserve">International Journal of Epidemiology</w:t>
      </w:r>
      <w:r>
        <w:t xml:space="preserve"> </w:t>
      </w:r>
      <w:r>
        <w:t xml:space="preserve">[electronic article]. 2016;45(2):353–363. (</w:t>
      </w:r>
      <w:hyperlink r:id="rId82">
        <w:r>
          <w:rPr>
            <w:rStyle w:val="Hyperlink"/>
          </w:rPr>
          <w:t xml:space="preserve">https://doi.org/10.1093/ije/dyv151</w:t>
        </w:r>
      </w:hyperlink>
      <w:r>
        <w:t xml:space="preserve">). (Accessed November 13, 2023)</w:t>
      </w:r>
    </w:p>
    <w:bookmarkEnd w:id="83"/>
    <w:bookmarkStart w:id="85"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
          <w:iCs/>
        </w:rPr>
        <w:t xml:space="preserve">International Journal of Epidemiology</w:t>
      </w:r>
      <w:r>
        <w:t xml:space="preserve"> </w:t>
      </w:r>
      <w:r>
        <w:t xml:space="preserve">[electronic article]. 2012;41(4):930–940. (</w:t>
      </w:r>
      <w:hyperlink r:id="rId84">
        <w:r>
          <w:rPr>
            <w:rStyle w:val="Hyperlink"/>
          </w:rPr>
          <w:t xml:space="preserve">https://doi.org/10.1093/ije/dyr054</w:t>
        </w:r>
      </w:hyperlink>
      <w:r>
        <w:t xml:space="preserve">). (Accessed November 13, 2023)</w:t>
      </w:r>
    </w:p>
    <w:bookmarkEnd w:id="85"/>
    <w:bookmarkStart w:id="87" w:name="Xd30c40380c9e99bac70b7fa3b0ada5ae8dec3e4"/>
    <w:p>
      <w:pPr>
        <w:pStyle w:val="Bibliography"/>
      </w:pPr>
      <w:r>
        <w:t xml:space="preserve">26.</w:t>
      </w:r>
      <w:r>
        <w:t xml:space="preserve"> </w:t>
      </w:r>
      <w:r>
        <w:t xml:space="preserve">	</w:t>
      </w:r>
      <w:r>
        <w:t xml:space="preserve">Grazuleviciene R, Danileviciute A, Nadisauskiene R, et al.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
          <w:iCs/>
        </w:rPr>
        <w:t xml:space="preserve">International Journal of Environmental Research and Public Health</w:t>
      </w:r>
      <w:r>
        <w:t xml:space="preserve"> </w:t>
      </w:r>
      <w:r>
        <w:t xml:space="preserve">[electronic article]. 2009;6(3, 3):1282–1297. (</w:t>
      </w:r>
      <w:hyperlink r:id="rId86">
        <w:r>
          <w:rPr>
            <w:rStyle w:val="Hyperlink"/>
          </w:rPr>
          <w:t xml:space="preserve">https://www.mdpi.com/1660-4601/6/3/1282</w:t>
        </w:r>
      </w:hyperlink>
      <w:r>
        <w:t xml:space="preserve">). (Accessed November 13, 2023)</w:t>
      </w:r>
    </w:p>
    <w:bookmarkEnd w:id="87"/>
    <w:bookmarkStart w:id="89"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
          <w:iCs/>
        </w:rPr>
        <w:t xml:space="preserve">International Journal of Epidemiology</w:t>
      </w:r>
      <w:r>
        <w:t xml:space="preserve"> </w:t>
      </w:r>
      <w:r>
        <w:t xml:space="preserve">[electronic article]. 2006;35(5):1146–1150. (</w:t>
      </w:r>
      <w:hyperlink r:id="rId88">
        <w:r>
          <w:rPr>
            <w:rStyle w:val="Hyperlink"/>
          </w:rPr>
          <w:t xml:space="preserve">https://doi.org/10.1093/ije/dyl170</w:t>
        </w:r>
      </w:hyperlink>
      <w:r>
        <w:t xml:space="preserve">). (Accessed November 13, 2023)</w:t>
      </w:r>
    </w:p>
    <w:bookmarkEnd w:id="89"/>
    <w:bookmarkStart w:id="91"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
          <w:iCs/>
        </w:rPr>
        <w:t xml:space="preserve">American Journal of Epidemiology</w:t>
      </w:r>
      <w:r>
        <w:t xml:space="preserve"> </w:t>
      </w:r>
      <w:r>
        <w:t xml:space="preserve">[electronic article]. 2009;170(7):829–836. (</w:t>
      </w:r>
      <w:hyperlink r:id="rId90">
        <w:r>
          <w:rPr>
            <w:rStyle w:val="Hyperlink"/>
          </w:rPr>
          <w:t xml:space="preserve">https://doi.org/10.1093/aje/kwp211</w:t>
        </w:r>
      </w:hyperlink>
      <w:r>
        <w:t xml:space="preserve">). (Accessed November 13, 2023)</w:t>
      </w:r>
    </w:p>
    <w:bookmarkEnd w:id="91"/>
    <w:bookmarkStart w:id="93"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
          <w:iCs/>
        </w:rPr>
        <w:t xml:space="preserve">BMJ Open</w:t>
      </w:r>
      <w:r>
        <w:t xml:space="preserve"> </w:t>
      </w:r>
      <w:r>
        <w:t xml:space="preserve">[electronic article]. 2018;8(9):e021311. (</w:t>
      </w:r>
      <w:hyperlink r:id="rId92">
        <w:r>
          <w:rPr>
            <w:rStyle w:val="Hyperlink"/>
          </w:rPr>
          <w:t xml:space="preserve">https://bmjopen.bmj.com/content/8/9/e021311</w:t>
        </w:r>
      </w:hyperlink>
      <w:r>
        <w:t xml:space="preserve">). (Accessed November 13, 2023)</w:t>
      </w:r>
    </w:p>
    <w:bookmarkEnd w:id="93"/>
    <w:bookmarkStart w:id="95" w:name="ref-HaugSakhiCequier:2018"/>
    <w:p>
      <w:pPr>
        <w:pStyle w:val="Bibliography"/>
      </w:pPr>
      <w:r>
        <w:t xml:space="preserve">30.</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
          <w:iCs/>
        </w:rPr>
        <w:t xml:space="preserve">Environment International</w:t>
      </w:r>
      <w:r>
        <w:t xml:space="preserve"> </w:t>
      </w:r>
      <w:r>
        <w:t xml:space="preserve">[electronic article]. 2018;121:751–763. (</w:t>
      </w:r>
      <w:hyperlink r:id="rId94">
        <w:r>
          <w:rPr>
            <w:rStyle w:val="Hyperlink"/>
          </w:rPr>
          <w:t xml:space="preserve">https://www.sciencedirect.com/science/article/pii/S016041201831225X</w:t>
        </w:r>
      </w:hyperlink>
      <w:r>
        <w:t xml:space="preserve">). (Accessed January 17, 2022)</w:t>
      </w:r>
    </w:p>
    <w:bookmarkEnd w:id="95"/>
    <w:bookmarkStart w:id="97" w:name="ref-MarcosRenauCasals:2014"/>
    <w:p>
      <w:pPr>
        <w:pStyle w:val="Bibliography"/>
      </w:pPr>
      <w:r>
        <w:t xml:space="preserve">31.</w:t>
      </w:r>
      <w:r>
        <w:t xml:space="preserve"> </w:t>
      </w:r>
      <w:r>
        <w:t xml:space="preserve">	</w:t>
      </w:r>
      <w:r>
        <w:t xml:space="preserve">Marcos J, Renau N, Casals G, et al. Investigation of endogenous corticosteroids profiles in human urine based on liquid chromatography tandem mass spectrometry.</w:t>
      </w:r>
      <w:r>
        <w:t xml:space="preserve"> </w:t>
      </w:r>
      <w:r>
        <w:rPr>
          <w:i/>
          <w:iCs/>
        </w:rPr>
        <w:t xml:space="preserve">Analytica Chimica Acta</w:t>
      </w:r>
      <w:r>
        <w:t xml:space="preserve"> </w:t>
      </w:r>
      <w:r>
        <w:t xml:space="preserve">[electronic article]. 2014;812:92–104. (</w:t>
      </w:r>
      <w:hyperlink r:id="rId96">
        <w:r>
          <w:rPr>
            <w:rStyle w:val="Hyperlink"/>
          </w:rPr>
          <w:t xml:space="preserve">https://www.sciencedirect.com/science/article/pii/S0003267013015791</w:t>
        </w:r>
      </w:hyperlink>
      <w:r>
        <w:t xml:space="preserve">). (Accessed November 13, 2023)</w:t>
      </w:r>
    </w:p>
    <w:bookmarkEnd w:id="97"/>
    <w:bookmarkStart w:id="99" w:name="ref-Gomez-GomezPozo:2020"/>
    <w:p>
      <w:pPr>
        <w:pStyle w:val="Bibliography"/>
      </w:pPr>
      <w:r>
        <w:t xml:space="preserve">32.</w:t>
      </w:r>
      <w:r>
        <w:t xml:space="preserve"> </w:t>
      </w:r>
      <w:r>
        <w:t xml:space="preserve">	</w:t>
      </w:r>
      <w:r>
        <w:t xml:space="preserve">Gomez-Gomez A, Pozo OJ. Determination of steroid profile in hair by liquid chromatography tandem mass spectrometry.</w:t>
      </w:r>
      <w:r>
        <w:t xml:space="preserve"> </w:t>
      </w:r>
      <w:r>
        <w:rPr>
          <w:i/>
          <w:iCs/>
        </w:rPr>
        <w:t xml:space="preserve">Journal of Chromatography A</w:t>
      </w:r>
      <w:r>
        <w:t xml:space="preserve"> </w:t>
      </w:r>
      <w:r>
        <w:t xml:space="preserve">[electronic article]. 2020;1624:461179. (</w:t>
      </w:r>
      <w:hyperlink r:id="rId98">
        <w:r>
          <w:rPr>
            <w:rStyle w:val="Hyperlink"/>
          </w:rPr>
          <w:t xml:space="preserve">https://www.sciencedirect.com/science/article/pii/S0021967320304313</w:t>
        </w:r>
      </w:hyperlink>
      <w:r>
        <w:t xml:space="preserve">). (Accessed November 13, 2023)</w:t>
      </w:r>
    </w:p>
    <w:bookmarkEnd w:id="99"/>
    <w:bookmarkStart w:id="101" w:name="ref-RuedaFanMcCandliss:2004"/>
    <w:p>
      <w:pPr>
        <w:pStyle w:val="Bibliography"/>
      </w:pPr>
      <w:r>
        <w:t xml:space="preserve">33.</w:t>
      </w:r>
      <w:r>
        <w:t xml:space="preserve"> </w:t>
      </w:r>
      <w:r>
        <w:t xml:space="preserve">	</w:t>
      </w:r>
      <w:r>
        <w:t xml:space="preserve">Rueda MR, Fan J, McCandliss BD, et al. Development of attentional networks in childhood.</w:t>
      </w:r>
      <w:r>
        <w:t xml:space="preserve"> </w:t>
      </w:r>
      <w:r>
        <w:rPr>
          <w:i/>
          <w:iCs/>
        </w:rPr>
        <w:t xml:space="preserve">Neuropsychologia</w:t>
      </w:r>
      <w:r>
        <w:t xml:space="preserve"> </w:t>
      </w:r>
      <w:r>
        <w:t xml:space="preserve">[electronic article]. 2004;42(8):1029–1040. (</w:t>
      </w:r>
      <w:hyperlink r:id="rId100">
        <w:r>
          <w:rPr>
            <w:rStyle w:val="Hyperlink"/>
          </w:rPr>
          <w:t xml:space="preserve">https://www.sciencedirect.com/science/article/pii/S0028393204000041</w:t>
        </w:r>
      </w:hyperlink>
      <w:r>
        <w:t xml:space="preserve">). (Accessed April 12, 2023)</w:t>
      </w:r>
    </w:p>
    <w:bookmarkEnd w:id="101"/>
    <w:bookmarkStart w:id="103" w:name="ref-SunyerEsnaolaAlvarez-Pedrerol:2015"/>
    <w:p>
      <w:pPr>
        <w:pStyle w:val="Bibliography"/>
      </w:pPr>
      <w:r>
        <w:t xml:space="preserve">34.</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
          <w:iCs/>
        </w:rPr>
        <w:t xml:space="preserve">PLOS Medicine</w:t>
      </w:r>
      <w:r>
        <w:t xml:space="preserve"> </w:t>
      </w:r>
      <w:r>
        <w:t xml:space="preserve">[electronic article]. 2015;12(3):e1001792. (</w:t>
      </w:r>
      <w:hyperlink r:id="rId102">
        <w:r>
          <w:rPr>
            <w:rStyle w:val="Hyperlink"/>
          </w:rPr>
          <w:t xml:space="preserve">https://journals.plos.org/plosmedicine/article?id=10.1371/journal.pmed.1001792</w:t>
        </w:r>
      </w:hyperlink>
      <w:r>
        <w:t xml:space="preserve">). (Accessed November 21, 2023)</w:t>
      </w:r>
    </w:p>
    <w:bookmarkEnd w:id="103"/>
    <w:bookmarkStart w:id="105" w:name="ref-TextorvanderZanderGilthorpe:2016"/>
    <w:p>
      <w:pPr>
        <w:pStyle w:val="Bibliography"/>
      </w:pPr>
      <w:r>
        <w:t xml:space="preserve">35.</w:t>
      </w:r>
      <w:r>
        <w:t xml:space="preserve"> </w:t>
      </w:r>
      <w:r>
        <w:t xml:space="preserve">	</w:t>
      </w:r>
      <w:r>
        <w:t xml:space="preserve">Textor J, van der Zander B, Gilthorpe MS, et al.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
          <w:iCs/>
        </w:rPr>
        <w:t xml:space="preserve">International Journal of Epidemiology</w:t>
      </w:r>
      <w:r>
        <w:t xml:space="preserve"> </w:t>
      </w:r>
      <w:r>
        <w:t xml:space="preserve">[electronic article]. 2016;45(6):1887–1894. (</w:t>
      </w:r>
      <w:hyperlink r:id="rId104">
        <w:r>
          <w:rPr>
            <w:rStyle w:val="Hyperlink"/>
          </w:rPr>
          <w:t xml:space="preserve">https://doi.org/10.1093/ije/dyw341</w:t>
        </w:r>
      </w:hyperlink>
      <w:r>
        <w:t xml:space="preserve">). (Accessed September 22, 2023)</w:t>
      </w:r>
    </w:p>
    <w:bookmarkEnd w:id="105"/>
    <w:bookmarkStart w:id="107" w:name="ref-Barrett:2023"/>
    <w:p>
      <w:pPr>
        <w:pStyle w:val="Bibliography"/>
      </w:pPr>
      <w:r>
        <w:t xml:space="preserve">36.</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2023;(</w:t>
      </w:r>
      <w:hyperlink r:id="rId106">
        <w:r>
          <w:rPr>
            <w:rStyle w:val="Hyperlink"/>
          </w:rPr>
          <w:t xml:space="preserve">https://github.com/r-causal/ggdag</w:t>
        </w:r>
      </w:hyperlink>
      <w:r>
        <w:t xml:space="preserve">)</w:t>
      </w:r>
    </w:p>
    <w:bookmarkEnd w:id="107"/>
    <w:bookmarkStart w:id="109" w:name="ref-KowarikTempl:2016"/>
    <w:p>
      <w:pPr>
        <w:pStyle w:val="Bibliography"/>
      </w:pPr>
      <w:r>
        <w:t xml:space="preserve">37.</w:t>
      </w:r>
      <w:r>
        <w:t xml:space="preserve"> </w:t>
      </w:r>
      <w:r>
        <w:t xml:space="preserve">	</w:t>
      </w:r>
      <w:r>
        <w:t xml:space="preserve">Kowarik A, Templ M. Imputation with the</w:t>
      </w:r>
      <w:r>
        <w:t xml:space="preserve"> </w:t>
      </w:r>
      <w:r>
        <w:t xml:space="preserve">R Package VIM</w:t>
      </w:r>
      <w:r>
        <w:t xml:space="preserve">.</w:t>
      </w:r>
      <w:r>
        <w:t xml:space="preserve"> </w:t>
      </w:r>
      <w:r>
        <w:rPr>
          <w:i/>
          <w:iCs/>
        </w:rPr>
        <w:t xml:space="preserve">Journal of Statistical Software</w:t>
      </w:r>
      <w:r>
        <w:t xml:space="preserve"> </w:t>
      </w:r>
      <w:r>
        <w:t xml:space="preserve">[electronic article]. 2016;74:1–16. (</w:t>
      </w:r>
      <w:hyperlink r:id="rId108">
        <w:r>
          <w:rPr>
            <w:rStyle w:val="Hyperlink"/>
          </w:rPr>
          <w:t xml:space="preserve">https://doi.org/10.18637/jss.v074.i07</w:t>
        </w:r>
      </w:hyperlink>
      <w:r>
        <w:t xml:space="preserve">). (Accessed January 17, 2022)</w:t>
      </w:r>
    </w:p>
    <w:bookmarkEnd w:id="109"/>
    <w:bookmarkStart w:id="111" w:name="ref-LudeckeBen-ShacharPatil:2021"/>
    <w:p>
      <w:pPr>
        <w:pStyle w:val="Bibliography"/>
      </w:pPr>
      <w:r>
        <w:t xml:space="preserve">38.</w:t>
      </w:r>
      <w:r>
        <w:t xml:space="preserve"> </w:t>
      </w:r>
      <w:r>
        <w:t xml:space="preserve">	</w:t>
      </w:r>
      <w:r>
        <w:t xml:space="preserve">Lüdecke D, Ben-Shachar MS, Patil I, et al.</w:t>
      </w:r>
      <w:r>
        <w:t xml:space="preserve"> </w:t>
      </w:r>
      <w:hyperlink r:id="rId110">
        <w:r>
          <w:rPr>
            <w:rStyle w:val="Hyperlink"/>
          </w:rPr>
          <w:t xml:space="preserve">performance</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for assessment, comparison and testing of statistical models</w:t>
        </w:r>
      </w:hyperlink>
      <w:r>
        <w:t xml:space="preserve">.</w:t>
      </w:r>
      <w:r>
        <w:t xml:space="preserve"> </w:t>
      </w:r>
      <w:r>
        <w:rPr>
          <w:i/>
          <w:iCs/>
        </w:rPr>
        <w:t xml:space="preserve">Journal of Open Source Software</w:t>
      </w:r>
      <w:r>
        <w:t xml:space="preserve">. 2021;6(60):3139.</w:t>
      </w:r>
      <w:r>
        <w:t xml:space="preserve"> </w:t>
      </w:r>
    </w:p>
    <w:bookmarkEnd w:id="111"/>
    <w:bookmarkStart w:id="112" w:name="ref-lazar2015imputelcmd"/>
    <w:p>
      <w:pPr>
        <w:pStyle w:val="Bibliography"/>
      </w:pPr>
      <w:r>
        <w:t xml:space="preserve">39.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
          <w:iCs/>
        </w:rPr>
        <w:t xml:space="preserve">R package, version</w:t>
      </w:r>
      <w:r>
        <w:t xml:space="preserve">. 2015;2.</w:t>
      </w:r>
      <w:r>
        <w:t xml:space="preserve"> </w:t>
      </w:r>
    </w:p>
    <w:bookmarkEnd w:id="112"/>
    <w:bookmarkStart w:id="113" w:name="ref-Greifer:2023"/>
    <w:p>
      <w:pPr>
        <w:pStyle w:val="Bibliography"/>
      </w:pPr>
      <w:r>
        <w:t xml:space="preserve">40.</w:t>
      </w:r>
      <w:r>
        <w:t xml:space="preserve"> </w:t>
      </w:r>
      <w:r>
        <w:t xml:space="preserve">	</w:t>
      </w:r>
      <w:r>
        <w:t xml:space="preserve">Greifer N. Cobalt:</w:t>
      </w:r>
      <w:r>
        <w:t xml:space="preserve"> </w:t>
      </w:r>
      <w:r>
        <w:t xml:space="preserve">Covariate</w:t>
      </w:r>
      <w:r>
        <w:t xml:space="preserve"> </w:t>
      </w:r>
      <w:r>
        <w:t xml:space="preserve">balance tables and plots. 2023.</w:t>
      </w:r>
    </w:p>
    <w:bookmarkEnd w:id="113"/>
    <w:bookmarkStart w:id="115" w:name="ref-HulingGreiferChen:2023"/>
    <w:p>
      <w:pPr>
        <w:pStyle w:val="Bibliography"/>
      </w:pPr>
      <w:r>
        <w:t xml:space="preserve">41.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
          <w:iCs/>
        </w:rPr>
        <w:t xml:space="preserve">Journal of the American Statistical Association</w:t>
      </w:r>
      <w:r>
        <w:t xml:space="preserve"> </w:t>
      </w:r>
      <w:r>
        <w:t xml:space="preserve">[electronic article]. 2023;0(0):1–14. (</w:t>
      </w:r>
      <w:hyperlink r:id="rId114">
        <w:r>
          <w:rPr>
            <w:rStyle w:val="Hyperlink"/>
          </w:rPr>
          <w:t xml:space="preserve">https://doi.org/10.1080/01621459.2023.2213485</w:t>
        </w:r>
      </w:hyperlink>
      <w:r>
        <w:t xml:space="preserve">). (Accessed September 15, 2023)</w:t>
      </w:r>
    </w:p>
    <w:bookmarkEnd w:id="115"/>
    <w:bookmarkStart w:id="116" w:name="ref-Greifer:2023a"/>
    <w:p>
      <w:pPr>
        <w:pStyle w:val="Bibliography"/>
      </w:pPr>
      <w:r>
        <w:t xml:space="preserve">42.</w:t>
      </w:r>
      <w:r>
        <w:t xml:space="preserve"> </w:t>
      </w:r>
      <w:r>
        <w:t xml:space="preserve">	</w:t>
      </w:r>
      <w:r>
        <w:t xml:space="preserve">Greifer N.</w:t>
      </w:r>
      <w:r>
        <w:t xml:space="preserve"> </w:t>
      </w:r>
      <w:r>
        <w:t xml:space="preserve">WeightIt</w:t>
      </w:r>
      <w:r>
        <w:t xml:space="preserve">:</w:t>
      </w:r>
      <w:r>
        <w:t xml:space="preserve"> </w:t>
      </w:r>
      <w:r>
        <w:t xml:space="preserve">Weighting</w:t>
      </w:r>
      <w:r>
        <w:t xml:space="preserve"> </w:t>
      </w:r>
      <w:r>
        <w:t xml:space="preserve">for covariate balance in observational studies. 2023.</w:t>
      </w:r>
    </w:p>
    <w:bookmarkEnd w:id="116"/>
    <w:bookmarkStart w:id="118" w:name="ref-Arel-Bundock:2023"/>
    <w:p>
      <w:pPr>
        <w:pStyle w:val="Bibliography"/>
      </w:pPr>
      <w:r>
        <w:t xml:space="preserve">43.</w:t>
      </w:r>
      <w:r>
        <w:t xml:space="preserve"> </w:t>
      </w:r>
      <w:r>
        <w:t xml:space="preserve">	</w:t>
      </w:r>
      <w:r>
        <w:t xml:space="preserve">Arel-Bundock V. Marginaleffects:</w:t>
      </w:r>
      <w:r>
        <w:t xml:space="preserve"> </w:t>
      </w:r>
      <w:r>
        <w:t xml:space="preserve">Predictions</w:t>
      </w:r>
      <w:r>
        <w:t xml:space="preserve">, comparisons, slopes, marginal means, and hypothesis tests. 2023.(</w:t>
      </w:r>
      <w:hyperlink r:id="rId117">
        <w:r>
          <w:rPr>
            <w:rStyle w:val="Hyperlink"/>
          </w:rPr>
          <w:t xml:space="preserve">https://marginaleffects.com/</w:t>
        </w:r>
      </w:hyperlink>
      <w:r>
        <w:t xml:space="preserve">)</w:t>
      </w:r>
    </w:p>
    <w:bookmarkEnd w:id="118"/>
    <w:bookmarkStart w:id="120" w:name="ref-Zeileis:2004"/>
    <w:p>
      <w:pPr>
        <w:pStyle w:val="Bibliography"/>
      </w:pPr>
      <w:r>
        <w:t xml:space="preserve">44.</w:t>
      </w:r>
      <w:r>
        <w:t xml:space="preserve"> </w:t>
      </w:r>
      <w:r>
        <w:t xml:space="preserve">	</w:t>
      </w:r>
      <w:r>
        <w:t xml:space="preserve">Zeileis A.</w:t>
      </w:r>
      <w:r>
        <w:t xml:space="preserve"> </w:t>
      </w:r>
      <w:hyperlink r:id="rId119">
        <w:r>
          <w:rPr>
            <w:rStyle w:val="Hyperlink"/>
          </w:rPr>
          <w:t xml:space="preserve">Econometric computing with</w:t>
        </w:r>
        <w:r>
          <w:rPr>
            <w:rStyle w:val="Hyperlink"/>
          </w:rPr>
          <w:t xml:space="preserve"> </w:t>
        </w:r>
        <w:r>
          <w:rPr>
            <w:rStyle w:val="Hyperlink"/>
          </w:rPr>
          <w:t xml:space="preserve">HC</w:t>
        </w:r>
        <w:r>
          <w:rPr>
            <w:rStyle w:val="Hyperlink"/>
          </w:rPr>
          <w:t xml:space="preserve"> </w:t>
        </w:r>
        <w:r>
          <w:rPr>
            <w:rStyle w:val="Hyperlink"/>
          </w:rPr>
          <w:t xml:space="preserve">and</w:t>
        </w:r>
        <w:r>
          <w:rPr>
            <w:rStyle w:val="Hyperlink"/>
          </w:rPr>
          <w:t xml:space="preserve"> </w:t>
        </w:r>
        <w:r>
          <w:rPr>
            <w:rStyle w:val="Hyperlink"/>
          </w:rPr>
          <w:t xml:space="preserve">HAC</w:t>
        </w:r>
        <w:r>
          <w:rPr>
            <w:rStyle w:val="Hyperlink"/>
          </w:rPr>
          <w:t xml:space="preserve"> </w:t>
        </w:r>
        <w:r>
          <w:rPr>
            <w:rStyle w:val="Hyperlink"/>
          </w:rPr>
          <w:t xml:space="preserve">covariance matrix estimators</w:t>
        </w:r>
      </w:hyperlink>
      <w:r>
        <w:t xml:space="preserve">.</w:t>
      </w:r>
      <w:r>
        <w:t xml:space="preserve"> </w:t>
      </w:r>
      <w:r>
        <w:rPr>
          <w:i/>
          <w:iCs/>
        </w:rPr>
        <w:t xml:space="preserve">Journal of Statistical Software</w:t>
      </w:r>
      <w:r>
        <w:t xml:space="preserve">. 2004;11(10):1–17.</w:t>
      </w:r>
      <w:r>
        <w:t xml:space="preserve"> </w:t>
      </w:r>
    </w:p>
    <w:bookmarkEnd w:id="120"/>
    <w:bookmarkStart w:id="122" w:name="ref-ZeileisKollGraham:2020"/>
    <w:p>
      <w:pPr>
        <w:pStyle w:val="Bibliography"/>
      </w:pPr>
      <w:r>
        <w:t xml:space="preserve">45.</w:t>
      </w:r>
      <w:r>
        <w:t xml:space="preserve"> </w:t>
      </w:r>
      <w:r>
        <w:t xml:space="preserve">	</w:t>
      </w:r>
      <w:r>
        <w:t xml:space="preserve">Zeileis A, Köll S, Graham N.</w:t>
      </w:r>
      <w:r>
        <w:t xml:space="preserve"> </w:t>
      </w:r>
      <w:hyperlink r:id="rId121">
        <w:r>
          <w:rPr>
            <w:rStyle w:val="Hyperlink"/>
          </w:rPr>
          <w:t xml:space="preserve">Various versatile variances:</w:t>
        </w:r>
        <w:r>
          <w:rPr>
            <w:rStyle w:val="Hyperlink"/>
          </w:rPr>
          <w:t xml:space="preserve"> </w:t>
        </w:r>
        <w:r>
          <w:rPr>
            <w:rStyle w:val="Hyperlink"/>
          </w:rPr>
          <w:t xml:space="preserve">An</w:t>
        </w:r>
        <w:r>
          <w:rPr>
            <w:rStyle w:val="Hyperlink"/>
          </w:rPr>
          <w:t xml:space="preserve"> </w:t>
        </w:r>
        <w:r>
          <w:rPr>
            <w:rStyle w:val="Hyperlink"/>
          </w:rPr>
          <w:t xml:space="preserve">object-oriented implementation of clustered covariances in</w:t>
        </w:r>
        <w:r>
          <w:rPr>
            <w:rStyle w:val="Hyperlink"/>
          </w:rPr>
          <w:t xml:space="preserve"> </w:t>
        </w:r>
        <w:r>
          <w:rPr>
            <w:rStyle w:val="Hyperlink"/>
          </w:rPr>
          <w:t xml:space="preserve">R</w:t>
        </w:r>
      </w:hyperlink>
      <w:r>
        <w:t xml:space="preserve">.</w:t>
      </w:r>
      <w:r>
        <w:t xml:space="preserve"> </w:t>
      </w:r>
      <w:r>
        <w:rPr>
          <w:i/>
          <w:iCs/>
        </w:rPr>
        <w:t xml:space="preserve">Journal of Statistical Software</w:t>
      </w:r>
      <w:r>
        <w:t xml:space="preserve">. 2020;95(1):1–36.</w:t>
      </w:r>
      <w:r>
        <w:t xml:space="preserve"> </w:t>
      </w:r>
    </w:p>
    <w:bookmarkEnd w:id="122"/>
    <w:bookmarkStart w:id="124" w:name="ref-LiPapandonatosCalafat:2019"/>
    <w:p>
      <w:pPr>
        <w:pStyle w:val="Bibliography"/>
      </w:pPr>
      <w:r>
        <w:t xml:space="preserve">46.</w:t>
      </w:r>
      <w:r>
        <w:t xml:space="preserve"> </w:t>
      </w:r>
      <w:r>
        <w:t xml:space="preserve">	</w:t>
      </w:r>
      <w:r>
        <w:t xml:space="preserve">Li N, Papandonatos GD, Calafat AM, et al. Identifying periods of susceptibility to the impact of phthalates on children’s cognitive abilities.</w:t>
      </w:r>
      <w:r>
        <w:t xml:space="preserve"> </w:t>
      </w:r>
      <w:r>
        <w:rPr>
          <w:i/>
          <w:iCs/>
        </w:rPr>
        <w:t xml:space="preserve">Environmental Research</w:t>
      </w:r>
      <w:r>
        <w:t xml:space="preserve"> </w:t>
      </w:r>
      <w:r>
        <w:t xml:space="preserve">[electronic article]. 2019;172:604–614. (</w:t>
      </w:r>
      <w:hyperlink r:id="rId123">
        <w:r>
          <w:rPr>
            <w:rStyle w:val="Hyperlink"/>
          </w:rPr>
          <w:t xml:space="preserve">https://www.sciencedirect.com/science/article/pii/S0013935119301379</w:t>
        </w:r>
      </w:hyperlink>
      <w:r>
        <w:t xml:space="preserve">). (Accessed March 13, 2024)</w:t>
      </w:r>
    </w:p>
    <w:bookmarkEnd w:id="124"/>
    <w:bookmarkStart w:id="126" w:name="ref-BalalianWhyattLiu:2019"/>
    <w:p>
      <w:pPr>
        <w:pStyle w:val="Bibliography"/>
      </w:pPr>
      <w:r>
        <w:t xml:space="preserve">47.</w:t>
      </w:r>
      <w:r>
        <w:t xml:space="preserve"> </w:t>
      </w:r>
      <w:r>
        <w:t xml:space="preserve">	</w:t>
      </w:r>
      <w:r>
        <w:t xml:space="preserve">Balalian AA, Whyatt RM, Liu X, et al. Prenatal and childhood exposure to phthalates and motor skills at age 11 years.</w:t>
      </w:r>
      <w:r>
        <w:t xml:space="preserve"> </w:t>
      </w:r>
      <w:r>
        <w:rPr>
          <w:i/>
          <w:iCs/>
        </w:rPr>
        <w:t xml:space="preserve">Environmental Research</w:t>
      </w:r>
      <w:r>
        <w:t xml:space="preserve"> </w:t>
      </w:r>
      <w:r>
        <w:t xml:space="preserve">[electronic article]. 2019;171:416–427. (</w:t>
      </w:r>
      <w:hyperlink r:id="rId125">
        <w:r>
          <w:rPr>
            <w:rStyle w:val="Hyperlink"/>
          </w:rPr>
          <w:t xml:space="preserve">https://www.sciencedirect.com/science/article/pii/S0013935119300507</w:t>
        </w:r>
      </w:hyperlink>
      <w:r>
        <w:t xml:space="preserve">). (Accessed March 13, 2024)</w:t>
      </w:r>
    </w:p>
    <w:bookmarkEnd w:id="126"/>
    <w:bookmarkStart w:id="128" w:name="ref-JankowskaPolanskaHanke:2019"/>
    <w:p>
      <w:pPr>
        <w:pStyle w:val="Bibliography"/>
      </w:pPr>
      <w:r>
        <w:t xml:space="preserve">48.</w:t>
      </w:r>
      <w:r>
        <w:t xml:space="preserve"> </w:t>
      </w:r>
      <w:r>
        <w:t xml:space="preserve">	</w:t>
      </w:r>
      <w:r>
        <w:t xml:space="preserve">Jankowska A, Polańska K, Hanke W, et al. Prenatal and early postnatal phthalate exposure and child neurodevelopment at age of 7 years –</w:t>
      </w:r>
      <w:r>
        <w:t xml:space="preserve"> </w:t>
      </w:r>
      <w:r>
        <w:t xml:space="preserve">Polish Mother</w:t>
      </w:r>
      <w:r>
        <w:t xml:space="preserve"> </w:t>
      </w:r>
      <w:r>
        <w:t xml:space="preserve">and</w:t>
      </w:r>
      <w:r>
        <w:t xml:space="preserve"> </w:t>
      </w:r>
      <w:r>
        <w:t xml:space="preserve">Child Cohort</w:t>
      </w:r>
      <w:r>
        <w:t xml:space="preserve">.</w:t>
      </w:r>
      <w:r>
        <w:t xml:space="preserve"> </w:t>
      </w:r>
      <w:r>
        <w:rPr>
          <w:i/>
          <w:iCs/>
        </w:rPr>
        <w:t xml:space="preserve">Environmental Research</w:t>
      </w:r>
      <w:r>
        <w:t xml:space="preserve"> </w:t>
      </w:r>
      <w:r>
        <w:t xml:space="preserve">[electronic article]. 2019;177:108626. (</w:t>
      </w:r>
      <w:hyperlink r:id="rId127">
        <w:r>
          <w:rPr>
            <w:rStyle w:val="Hyperlink"/>
          </w:rPr>
          <w:t xml:space="preserve">https://www.sciencedirect.com/science/article/pii/S0013935119304232</w:t>
        </w:r>
      </w:hyperlink>
      <w:r>
        <w:t xml:space="preserve">). (Accessed March 13, 2024)</w:t>
      </w:r>
    </w:p>
    <w:bookmarkEnd w:id="128"/>
    <w:bookmarkStart w:id="129" w:name="ref-WechslerKodama:2003"/>
    <w:p>
      <w:pPr>
        <w:pStyle w:val="Bibliography"/>
      </w:pPr>
      <w:r>
        <w:t xml:space="preserve">49.</w:t>
      </w:r>
      <w:r>
        <w:t xml:space="preserve"> </w:t>
      </w:r>
      <w:r>
        <w:t xml:space="preserve">	</w:t>
      </w:r>
      <w:r>
        <w:t xml:space="preserve">Wechsler D, Kodama H. Wechsler intelligence scale for children. Psychological corporation New York; 2003.</w:t>
      </w:r>
    </w:p>
    <w:bookmarkEnd w:id="129"/>
    <w:bookmarkStart w:id="131" w:name="ref-ZhaoChuHuang:2010"/>
    <w:p>
      <w:pPr>
        <w:pStyle w:val="Bibliography"/>
      </w:pPr>
      <w:r>
        <w:t xml:space="preserve">50.</w:t>
      </w:r>
      <w:r>
        <w:t xml:space="preserve"> </w:t>
      </w:r>
      <w:r>
        <w:t xml:space="preserve">	</w:t>
      </w:r>
      <w:r>
        <w:t xml:space="preserve">Zhao B, Chu Y, Huang Y, et al. Structure-dependent inhibition of human and rat 11β-hydroxysteroid dehydrogenase 2 activities by phthalates.</w:t>
      </w:r>
      <w:r>
        <w:t xml:space="preserve"> </w:t>
      </w:r>
      <w:r>
        <w:rPr>
          <w:i/>
          <w:iCs/>
        </w:rPr>
        <w:t xml:space="preserve">Chemico-Biological Interactions</w:t>
      </w:r>
      <w:r>
        <w:t xml:space="preserve"> </w:t>
      </w:r>
      <w:r>
        <w:t xml:space="preserve">[electronic article]. 2010;183(1):79–84. (</w:t>
      </w:r>
      <w:hyperlink r:id="rId130">
        <w:r>
          <w:rPr>
            <w:rStyle w:val="Hyperlink"/>
          </w:rPr>
          <w:t xml:space="preserve">https://www.sciencedirect.com/science/article/pii/S0009279709003950</w:t>
        </w:r>
      </w:hyperlink>
      <w:r>
        <w:t xml:space="preserve">). (Accessed February 13, 2024)</w:t>
      </w:r>
    </w:p>
    <w:bookmarkEnd w:id="131"/>
    <w:bookmarkStart w:id="133" w:name="ref-MaLianDong:2011"/>
    <w:p>
      <w:pPr>
        <w:pStyle w:val="Bibliography"/>
      </w:pPr>
      <w:r>
        <w:t xml:space="preserve">51.</w:t>
      </w:r>
      <w:r>
        <w:t xml:space="preserve"> </w:t>
      </w:r>
      <w:r>
        <w:t xml:space="preserve">	</w:t>
      </w:r>
      <w:r>
        <w:t xml:space="preserve">Ma X, Lian Q-Q, Dong Q, et al. Environmental inhibitors of 11β-hydroxysteroid dehydrogenase type 2.</w:t>
      </w:r>
      <w:r>
        <w:t xml:space="preserve"> </w:t>
      </w:r>
      <w:r>
        <w:rPr>
          <w:i/>
          <w:iCs/>
        </w:rPr>
        <w:t xml:space="preserve">Toxicology</w:t>
      </w:r>
      <w:r>
        <w:t xml:space="preserve"> </w:t>
      </w:r>
      <w:r>
        <w:t xml:space="preserve">[electronic article]. 2011;285(3):83–89. (</w:t>
      </w:r>
      <w:hyperlink r:id="rId132">
        <w:r>
          <w:rPr>
            <w:rStyle w:val="Hyperlink"/>
          </w:rPr>
          <w:t xml:space="preserve">https://www.sciencedirect.com/science/article/pii/S0300483X11001466</w:t>
        </w:r>
      </w:hyperlink>
      <w:r>
        <w:t xml:space="preserve">). (Accessed February 13, 2024)</w:t>
      </w:r>
    </w:p>
    <w:bookmarkEnd w:id="133"/>
    <w:bookmarkStart w:id="135" w:name="ref-PrasanthDivyaSadasivan:2010"/>
    <w:p>
      <w:pPr>
        <w:pStyle w:val="Bibliography"/>
      </w:pPr>
      <w:r>
        <w:t xml:space="preserve">52.</w:t>
      </w:r>
      <w:r>
        <w:t xml:space="preserve"> </w:t>
      </w:r>
      <w:r>
        <w:t xml:space="preserve">	</w:t>
      </w:r>
      <w:r>
        <w:t xml:space="preserve">Prasanth GK, Divya LM, Sadasivan C. Bisphenol-</w:t>
      </w:r>
      <w:r>
        <w:t xml:space="preserve">A</w:t>
      </w:r>
      <w:r>
        <w:t xml:space="preserve"> </w:t>
      </w:r>
      <w:r>
        <w:t xml:space="preserve">can bind to human glucocorticoid receptor as an agonist: An in silico study.</w:t>
      </w:r>
      <w:r>
        <w:t xml:space="preserve"> </w:t>
      </w:r>
      <w:r>
        <w:rPr>
          <w:i/>
          <w:iCs/>
        </w:rPr>
        <w:t xml:space="preserve">Journal of Applied Toxicology</w:t>
      </w:r>
      <w:r>
        <w:t xml:space="preserve"> </w:t>
      </w:r>
      <w:r>
        <w:t xml:space="preserve">[electronic article]. 2010;30(8):769–774. (</w:t>
      </w:r>
      <w:hyperlink r:id="rId134">
        <w:r>
          <w:rPr>
            <w:rStyle w:val="Hyperlink"/>
          </w:rPr>
          <w:t xml:space="preserve">https://onlinelibrary.wiley.com/doi/abs/10.1002/jat.1570</w:t>
        </w:r>
      </w:hyperlink>
      <w:r>
        <w:t xml:space="preserve">). (Accessed February 13, 2024)</w:t>
      </w:r>
    </w:p>
    <w:bookmarkEnd w:id="135"/>
    <w:bookmarkStart w:id="137" w:name="ref-YangLiRen:2019"/>
    <w:p>
      <w:pPr>
        <w:pStyle w:val="Bibliography"/>
      </w:pPr>
      <w:r>
        <w:t xml:space="preserve">53.</w:t>
      </w:r>
      <w:r>
        <w:t xml:space="preserve"> </w:t>
      </w:r>
      <w:r>
        <w:t xml:space="preserve">	</w:t>
      </w:r>
      <w:r>
        <w:t xml:space="preserve">Yang F-W, Li Y-X, Ren F-Z, et al. Assessment of the endocrine-disrupting effects of organophosphorus pesticide triazophos and its metabolites on endocrine hormones biosynthesis, transport and receptor binding</w:t>
      </w:r>
      <w:r>
        <w:t xml:space="preserve"> </w:t>
      </w:r>
      <w:r>
        <w:rPr>
          <w:i/>
          <w:iCs/>
        </w:rPr>
        <w:t xml:space="preserve">in Silico</w:t>
      </w:r>
      <w:r>
        <w:t xml:space="preserve">.</w:t>
      </w:r>
      <w:r>
        <w:t xml:space="preserve"> </w:t>
      </w:r>
      <w:r>
        <w:rPr>
          <w:i/>
          <w:iCs/>
        </w:rPr>
        <w:t xml:space="preserve">Food and Chemical Toxicology</w:t>
      </w:r>
      <w:r>
        <w:t xml:space="preserve"> </w:t>
      </w:r>
      <w:r>
        <w:t xml:space="preserve">[electronic article]. 2019;133:110759. (</w:t>
      </w:r>
      <w:hyperlink r:id="rId136">
        <w:r>
          <w:rPr>
            <w:rStyle w:val="Hyperlink"/>
          </w:rPr>
          <w:t xml:space="preserve">https://www.sciencedirect.com/science/article/pii/S0278691519305496</w:t>
        </w:r>
      </w:hyperlink>
      <w:r>
        <w:t xml:space="preserve">). (Accessed February 13, 2024)</w:t>
      </w:r>
    </w:p>
    <w:bookmarkEnd w:id="137"/>
    <w:bookmarkStart w:id="139" w:name="ref-PerrierGiorgis-AllemandSlama:2016"/>
    <w:p>
      <w:pPr>
        <w:pStyle w:val="Bibliography"/>
      </w:pPr>
      <w:r>
        <w:t xml:space="preserve">54.</w:t>
      </w:r>
      <w:r>
        <w:t xml:space="preserve"> </w:t>
      </w:r>
      <w:r>
        <w:t xml:space="preserve">	</w:t>
      </w:r>
      <w:r>
        <w:t xml:space="preserve">Perrier F, Giorgis-Allemand L, Slama R, et al. Within-subject</w:t>
      </w:r>
      <w:r>
        <w:t xml:space="preserve"> </w:t>
      </w:r>
      <w:r>
        <w:t xml:space="preserve">Pooling</w:t>
      </w:r>
      <w:r>
        <w:t xml:space="preserve"> </w:t>
      </w:r>
      <w:r>
        <w:t xml:space="preserve">of</w:t>
      </w:r>
      <w:r>
        <w:t xml:space="preserve"> </w:t>
      </w:r>
      <w:r>
        <w:t xml:space="preserve">Biological Samples</w:t>
      </w:r>
      <w:r>
        <w:t xml:space="preserve"> </w:t>
      </w:r>
      <w:r>
        <w:t xml:space="preserve">to</w:t>
      </w:r>
      <w:r>
        <w:t xml:space="preserve"> </w:t>
      </w:r>
      <w:r>
        <w:t xml:space="preserve">Reduce Exposure Misclassification</w:t>
      </w:r>
      <w:r>
        <w:t xml:space="preserve"> </w:t>
      </w:r>
      <w:r>
        <w:t xml:space="preserve">in</w:t>
      </w:r>
      <w:r>
        <w:t xml:space="preserve"> </w:t>
      </w:r>
      <w:r>
        <w:t xml:space="preserve">Biomarker-based Studies</w:t>
      </w:r>
      <w:r>
        <w:t xml:space="preserve">.</w:t>
      </w:r>
      <w:r>
        <w:t xml:space="preserve"> </w:t>
      </w:r>
      <w:r>
        <w:rPr>
          <w:i/>
          <w:iCs/>
        </w:rPr>
        <w:t xml:space="preserve">Epidemiology</w:t>
      </w:r>
      <w:r>
        <w:t xml:space="preserve"> </w:t>
      </w:r>
      <w:r>
        <w:t xml:space="preserve">[electronic article]. 2016;27(3):378. (</w:t>
      </w:r>
      <w:hyperlink r:id="rId138">
        <w:r>
          <w:rPr>
            <w:rStyle w:val="Hyperlink"/>
          </w:rPr>
          <w:t xml:space="preserve">https://journals.lww.com/epidem/fulltext/2016/05000/within_subject_pooling_of_biological_samples_to.12.aspx</w:t>
        </w:r>
      </w:hyperlink>
      <w:r>
        <w:t xml:space="preserve">). (Accessed March 8, 2024)</w:t>
      </w:r>
    </w:p>
    <w:bookmarkEnd w:id="139"/>
    <w:bookmarkStart w:id="141" w:name="ref-CasasBasaganaSakhi:2018"/>
    <w:p>
      <w:pPr>
        <w:pStyle w:val="Bibliography"/>
      </w:pPr>
      <w:r>
        <w:t xml:space="preserve">55.</w:t>
      </w:r>
      <w:r>
        <w:t xml:space="preserve"> </w:t>
      </w:r>
      <w:r>
        <w:t xml:space="preserve">	</w:t>
      </w:r>
      <w:r>
        <w:t xml:space="preserve">Casas M, Basagaña X, Sakhi AK, et al. Variability of urinary concentrations of non-persistent chemicals in pregnant women and school-aged children.</w:t>
      </w:r>
      <w:r>
        <w:t xml:space="preserve"> </w:t>
      </w:r>
      <w:r>
        <w:rPr>
          <w:i/>
          <w:iCs/>
        </w:rPr>
        <w:t xml:space="preserve">Environ. Int.</w:t>
      </w:r>
      <w:r>
        <w:t xml:space="preserve"> </w:t>
      </w:r>
      <w:r>
        <w:t xml:space="preserve">[electronic article]. 2018;121(Pt 1, Pt 1):561–573. (</w:t>
      </w:r>
      <w:hyperlink r:id="rId140">
        <w:r>
          <w:rPr>
            <w:rStyle w:val="Hyperlink"/>
          </w:rPr>
          <w:t xml:space="preserve">http://dx.doi.org/10.1016/j.envint.2018.09.046</w:t>
        </w:r>
      </w:hyperlink>
      <w:r>
        <w:t xml:space="preserve">)</w:t>
      </w:r>
    </w:p>
    <w:bookmarkEnd w:id="141"/>
    <w:bookmarkStart w:id="143" w:name="ref-RafiGreenland:2020"/>
    <w:p>
      <w:pPr>
        <w:pStyle w:val="Bibliography"/>
      </w:pPr>
      <w:r>
        <w:t xml:space="preserve">56.</w:t>
      </w:r>
      <w:r>
        <w:t xml:space="preserve"> </w:t>
      </w:r>
      <w:r>
        <w:t xml:space="preserve">	</w:t>
      </w:r>
      <w:r>
        <w:t xml:space="preserve">Rafi Z, Greenland S. Semantic and cognitive tools to aid statistical science: Replace confidence and significance by compatibility and surprise.</w:t>
      </w:r>
      <w:r>
        <w:t xml:space="preserve"> </w:t>
      </w:r>
      <w:r>
        <w:rPr>
          <w:i/>
          <w:iCs/>
        </w:rPr>
        <w:t xml:space="preserve">BMC Medical Research Methodology</w:t>
      </w:r>
      <w:r>
        <w:t xml:space="preserve"> </w:t>
      </w:r>
      <w:r>
        <w:t xml:space="preserve">[electronic article]. 2020;20(1):244. (</w:t>
      </w:r>
      <w:hyperlink r:id="rId142">
        <w:r>
          <w:rPr>
            <w:rStyle w:val="Hyperlink"/>
          </w:rPr>
          <w:t xml:space="preserve">https://doi.org/10.1186/s12874-020-01105-9</w:t>
        </w:r>
      </w:hyperlink>
      <w:r>
        <w:t xml:space="preserve">). (Accessed March 8, 2024)</w:t>
      </w:r>
    </w:p>
    <w:bookmarkEnd w:id="143"/>
    <w:bookmarkEnd w:id="144"/>
    <w:p>
      <w:r>
        <w:br w:type="page"/>
      </w:r>
    </w:p>
    <w:bookmarkEnd w:id="145"/>
    <w:bookmarkStart w:id="152" w:name="tables-for-descriptive-data"/>
    <w:p>
      <w:pPr>
        <w:pStyle w:val="Heading1"/>
      </w:pPr>
      <w:r>
        <w:t xml:space="preserve">Tables for descriptive data</w:t>
      </w:r>
    </w:p>
    <w:bookmarkStart w:id="147" w:name="study-populations"/>
    <w:p>
      <w:pPr>
        <w:pStyle w:val="Heading2"/>
      </w:pPr>
      <w:r>
        <w:t xml:space="preserve">Study populations</w:t>
      </w:r>
    </w:p>
    <w:tbl>
      <w:tblPr>
        <w:tblStyle w:val="Table"/>
        <w:tblW w:type="pct" w:w="5000"/>
        <w:jc w:val="left"/>
        <w:tblLayout w:type="fixed"/>
        <w:tblLook w:firstRow="0" w:lastRow="0" w:firstColumn="0" w:lastColumn="0" w:noHBand="0" w:noVBand="0" w:val="0000"/>
      </w:tblPr>
      <w:tblGrid>
        <w:gridCol w:w="7920"/>
      </w:tblGrid>
      <w:tr>
        <w:tc>
          <w:tcPr/>
          <w:bookmarkStart w:id="146" w:name="tbl-pop-desc"/>
          <w:p>
            <w:pPr>
              <w:jc w:val="center"/>
            </w:pPr>
            <w:pPr>
              <w:jc w:val="start"/>
              <w:spacing w:before="200"/>
              <w:pStyle w:val="ImageCaption"/>
            </w:pPr>
            <w:r>
              <w:t xml:space="preserve">Table 1:</w:t>
            </w:r>
            <w:r>
              <w:t xml:space="preserve"> </w:t>
            </w:r>
            <w:r>
              <w:rPr>
                <w:b/>
                <w:bCs/>
              </w:rPr>
              <w:t xml:space="preserve">Participant characteristics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MOBA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BIB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KANC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RHEA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EDEN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 (hours)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n (%); Median (IQR)</w:t>
                  </w:r>
                </w:p>
              </w:tc>
            </w:tr>
          </w:tbl>
          <w:bookmarkEnd w:id="146"/>
        </w:tc>
      </w:tr>
    </w:tbl>
    <w:bookmarkEnd w:id="147"/>
    <w:bookmarkStart w:id="149" w:name="endocrine-disruptors"/>
    <w:p>
      <w:pPr>
        <w:pStyle w:val="Heading2"/>
      </w:pPr>
      <w:r>
        <w:t xml:space="preserve">Endocrine disruptors</w:t>
      </w:r>
    </w:p>
    <w:tbl>
      <w:tblPr>
        <w:tblStyle w:val="Table"/>
        <w:tblW w:type="pct" w:w="5000"/>
        <w:jc w:val="left"/>
        <w:tblLayout w:type="fixed"/>
        <w:tblLook w:firstRow="0" w:lastRow="0" w:firstColumn="0" w:lastColumn="0" w:noHBand="0" w:noVBand="0" w:val="0000"/>
      </w:tblPr>
      <w:tblGrid>
        <w:gridCol w:w="7920"/>
      </w:tblGrid>
      <w:tr>
        <w:tc>
          <w:tcPr/>
          <w:bookmarkStart w:id="148" w:name="tbl-edc-desc"/>
          <w:p>
            <w:pPr>
              <w:jc w:val="center"/>
            </w:pPr>
            <w:pPr>
              <w:jc w:val="start"/>
              <w:spacing w:before="200"/>
              <w:pStyle w:val="ImageCaption"/>
            </w:pPr>
            <w:r>
              <w:t xml:space="preserve">Table 2:</w:t>
            </w:r>
            <w:r>
              <w:t xml:space="preserve"> </w:t>
            </w:r>
            <w:r>
              <w:rPr>
                <w:b/>
                <w:bCs/>
              </w:rPr>
              <w:t xml:space="preserve">Participants endocrine disruptors concentrations expressed in</w:t>
            </w:r>
            <w:r>
              <w:rPr>
                <w:b/>
                <w:bCs/>
              </w:rPr>
              <w:t xml:space="preserve"> </w:t>
            </w:r>
            <m:oMath>
              <m:r>
                <m:t>μ</m:t>
              </m:r>
            </m:oMath>
            <w:r>
              <w:rPr>
                <w:b/>
                <w:bCs/>
              </w:rPr>
              <w:t xml:space="preserve">grams/L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b</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(0.4,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(3.1,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(2.7,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(19.9, 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(11.4,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(1.6,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(7.1,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(15.0, 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(24.5, 71.1)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(14.5, 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N missing (% missing)</w:t>
                  </w:r>
                </w:p>
              </w:tc>
            </w:tr>
          </w:tbl>
          <w:bookmarkEnd w:id="148"/>
        </w:tc>
      </w:tr>
    </w:tbl>
    <w:bookmarkEnd w:id="149"/>
    <w:bookmarkStart w:id="151" w:name="glucocorticosteroids"/>
    <w:p>
      <w:pPr>
        <w:pStyle w:val="Heading2"/>
      </w:pPr>
      <w:r>
        <w:t xml:space="preserve">Glucocorticosteroids</w:t>
      </w:r>
    </w:p>
    <w:tbl>
      <w:tblPr>
        <w:tblStyle w:val="Table"/>
        <w:tblW w:type="pct" w:w="5000"/>
        <w:jc w:val="left"/>
        <w:tblLayout w:type="fixed"/>
        <w:tblLook w:firstRow="0" w:lastRow="0" w:firstColumn="0" w:lastColumn="0" w:noHBand="0" w:noVBand="0" w:val="0000"/>
      </w:tblPr>
      <w:tblGrid>
        <w:gridCol w:w="7920"/>
      </w:tblGrid>
      <w:tr>
        <w:tc>
          <w:tcPr/>
          <w:bookmarkStart w:id="150" w:name="tbl-met-new-desc"/>
          <w:p>
            <w:pPr>
              <w:jc w:val="center"/>
            </w:pPr>
            <w:pPr>
              <w:jc w:val="start"/>
              <w:spacing w:before="200"/>
              <w:pStyle w:val="ImageCaption"/>
            </w:pPr>
            <w:r>
              <w:t xml:space="preserve">Table 3:</w:t>
            </w:r>
            <w:r>
              <w:t xml:space="preserve"> </w:t>
            </w:r>
            <w:r>
              <w:rPr>
                <w:b/>
                <w:bCs/>
              </w:rPr>
              <w:t xml:space="preserve">Participants derived glucocorticosteroids concentrations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1,004</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4,607.9 (2,860.5, 6,787.6); 18.0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4,559.5 (2,834.5, 6,731.7); 17.0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4,608.1 (2,920.8, 6,843.9); 19.0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4,580.7 (2,899.3, 6,800.5); 18.0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257.8 (157.9, 410.5); 3.0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(157.5, 409.7); 3.0 (0.3)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Measurements available for the HELIX subcohort.</w:t>
                  </w:r>
                </w:p>
              </w:tc>
            </w:tr>
          </w:tbl>
          <w:bookmarkEnd w:id="150"/>
        </w:tc>
      </w:tr>
    </w:tbl>
    <w:bookmarkEnd w:id="151"/>
    <w:bookmarkEnd w:id="152"/>
    <w:bookmarkStart w:id="156" w:name="tables-for-other-analyses"/>
    <w:p>
      <w:pPr>
        <w:pStyle w:val="Heading1"/>
      </w:pPr>
      <w:r>
        <w:t xml:space="preserve">Tables for other analyses</w:t>
      </w:r>
    </w:p>
    <w:bookmarkStart w:id="155" w:name="Xfe21795c12cc91b54002b32d590cceab5746351"/>
    <w:p>
      <w:pPr>
        <w:pStyle w:val="Heading2"/>
      </w:pPr>
      <w:r>
        <w:t xml:space="preserve">Marginal hypotheses for effect modification</w:t>
      </w:r>
    </w:p>
    <w:tbl>
      <w:tblPr>
        <w:tblStyle w:val="Table"/>
        <w:tblW w:type="pct" w:w="5000"/>
        <w:jc w:val="left"/>
        <w:tblLayout w:type="fixed"/>
        <w:tblLook w:firstRow="0" w:lastRow="0" w:firstColumn="0" w:lastColumn="0" w:noHBand="0" w:noVBand="0" w:val="0000"/>
      </w:tblPr>
      <w:tblGrid>
        <w:gridCol w:w="7920"/>
      </w:tblGrid>
      <w:tr>
        <w:tc>
          <w:tcPr/>
          <w:bookmarkStart w:id="153" w:name="tbl-hypothesis-1and2"/>
          <w:p>
            <w:pPr>
              <w:jc w:val="center"/>
            </w:pPr>
            <w:pPr>
              <w:jc w:val="start"/>
              <w:spacing w:before="200"/>
              <w:pStyle w:val="ImageCaption"/>
            </w:pPr>
            <w:r>
              <w:t xml:space="preserve">Table 4:</w:t>
            </w:r>
            <w:r>
              <w:t xml:space="preserve"> </w:t>
            </w:r>
            <w:r>
              <w:rPr>
                <w:b/>
                <w:bCs/>
              </w:rPr>
              <w:t xml:space="preserve">Pairwise differences between marginal contrasts on the logarithmic scale of males and females, for the effect of a increase from the 10th to the 90th percentile of endocrine disrupting chemicals (EDCs) on hit reaction time standard error (HRT-SE), expressed in ms, and on the glucocorticosteroids,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(-0.022,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 (-0.276,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 (-0.374,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 (-0.312, 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(-0.054, 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(-0.332, 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 (-0.264,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 (-0.269,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(-0.093,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(-0.217, 0.231)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 (-0.119,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 (-0.207,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(-0.095,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(-0.165,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(-0.326,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 (-0.353, 0.022)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(-0.026,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-0.153 (-0.291, -0.015)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 (-0.269, 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 (-0.216, 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(-0.067, 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 (-0.247,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 (-0.209,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(-0.112, 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(-0.021,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-0.254 (-0.416,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 (-0.39,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 (-0.472, 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(-0.061,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 (-0.271, 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(-0.258, 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 (-0.257,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(0.004,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(-0.486,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 (-0.306, 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(-0.274, 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(-0.045, 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(-0.262,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(-0.238, 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(-0.223, 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(-0.076, 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 (-0.251,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(-0.248,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 (-0.207, -0.096)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(-0.126, -0.007)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(-0.098, 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(-0.143,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(-0.174, 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(-0.076,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(-0.165, 0.136)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(-0.084, -0.002)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(-0.055,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 (-0.075, 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 (-0.264, 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(-0.208, 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(-0.087, 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(-0.082, 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 (-0.259, -0.071)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 (-0.289, -0.153)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 (-0.298, -0.055)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(-0.068,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 (-0.232,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 (-0.157, 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(-0.063,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(-0.138,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(-0.408, 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 (-0.384,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(-0.338,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(-0.138,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 (-0.175, 0.249)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(-0.267,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(-0.162, 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 (-0.11,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(-0.186, 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 (-0.134,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(-0.076, 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(-0.009,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(-0.335,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 (-0.33,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 (-0.304, -0.024)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(-0.059, 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(-0.315,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 (-0.303, 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(-0.238, -0.016)</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53"/>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54" w:name="tbl-hypothesis-3"/>
          <w:p>
            <w:pPr>
              <w:jc w:val="center"/>
            </w:pPr>
            <w:pPr>
              <w:jc w:val="start"/>
              <w:spacing w:before="200"/>
              <w:pStyle w:val="ImageCaption"/>
            </w:pPr>
            <w:r>
              <w:t xml:space="preserve">Table 5:</w:t>
            </w:r>
            <w:r>
              <w:t xml:space="preserve"> </w:t>
            </w:r>
            <w:r>
              <w:rPr>
                <w:b/>
                <w:bCs/>
              </w:rPr>
              <w:t xml:space="preserve">Pairwise differences between marginal contrasts on the logarithmic scale of males and females, for the effect of a increase from the 10th to the 90th percentile of the glucocorticosteroids on hit reaction time standard error (HRT-SE) expressed in ms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 (0.009, 0.243)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 (-0.045, 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(0.019, 0.261)</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54"/>
        </w:tc>
      </w:tr>
    </w:tbl>
    <w:p>
      <w:r>
        <w:br w:type="page"/>
      </w:r>
    </w:p>
    <w:bookmarkEnd w:id="155"/>
    <w:bookmarkEnd w:id="156"/>
    <w:bookmarkStart w:id="170" w:name="figures-for-main-results"/>
    <w:p>
      <w:pPr>
        <w:pStyle w:val="Heading1"/>
      </w:pPr>
      <w:r>
        <w:t xml:space="preserve">Figures for main results</w:t>
      </w:r>
    </w:p>
    <w:bookmarkStart w:id="169" w:name="marginal-contrasts"/>
    <w:p>
      <w:pPr>
        <w:pStyle w:val="Heading2"/>
      </w:pPr>
      <w:r>
        <w:t xml:space="preserve">Marginal contrasts</w:t>
      </w:r>
    </w:p>
    <w:tbl>
      <w:tblPr>
        <w:tblStyle w:val="Table"/>
        <w:tblW w:type="pct" w:w="5000"/>
        <w:jc w:val="left"/>
        <w:tblLayout w:type="fixed"/>
        <w:tblLook w:firstRow="0" w:lastRow="0" w:firstColumn="0" w:lastColumn="0" w:noHBand="0" w:noVBand="0" w:val="0000"/>
      </w:tblPr>
      <w:tblGrid>
        <w:gridCol w:w="7920"/>
      </w:tblGrid>
      <w:tr>
        <w:tc>
          <w:tcPr/>
          <w:bookmarkStart w:id="160" w:name="fig-marginal-1"/>
          <w:p>
            <w:pPr>
              <w:jc w:val="center"/>
            </w:pPr>
            <w:r>
              <w:drawing>
                <wp:inline>
                  <wp:extent cx="5334000" cy="5926666"/>
                  <wp:effectExtent b="0" l="0" r="0" t="0"/>
                  <wp:docPr descr="" title="" id="158" name="Picture"/>
                  <a:graphic>
                    <a:graphicData uri="http://schemas.openxmlformats.org/drawingml/2006/picture">
                      <pic:pic>
                        <pic:nvPicPr>
                          <pic:cNvPr descr="manuscript_files/figure-docx/marginal-1-1.png" id="159" name="Picture"/>
                          <pic:cNvPicPr>
                            <a:picLocks noChangeArrowheads="1" noChangeAspect="1"/>
                          </pic:cNvPicPr>
                        </pic:nvPicPr>
                        <pic:blipFill>
                          <a:blip r:embed="rId157"/>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
                <w:bCs/>
              </w:rPr>
              <w:t xml:space="preserve">Marginal contrasts on the logarithmic scale for the effect of a increase from the 10th to the 90th percentile of the endocrine disrupting chemicals (EDCs) on hit reaction time standard error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w:t>
            </w:r>
          </w:p>
          <w:bookmarkEnd w:id="160"/>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64" w:name="fig-marginal-2"/>
          <w:p>
            <w:pPr>
              <w:jc w:val="center"/>
            </w:pPr>
            <w:r>
              <w:drawing>
                <wp:inline>
                  <wp:extent cx="5334000" cy="7112000"/>
                  <wp:effectExtent b="0" l="0" r="0" t="0"/>
                  <wp:docPr descr="" title="" id="162" name="Picture"/>
                  <a:graphic>
                    <a:graphicData uri="http://schemas.openxmlformats.org/drawingml/2006/picture">
                      <pic:pic>
                        <pic:nvPicPr>
                          <pic:cNvPr descr="manuscript_files/figure-docx/marginal-2-1.png" id="163" name="Picture"/>
                          <pic:cNvPicPr>
                            <a:picLocks noChangeArrowheads="1" noChangeAspect="1"/>
                          </pic:cNvPicPr>
                        </pic:nvPicPr>
                        <pic:blipFill>
                          <a:blip r:embed="rId161"/>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
                <w:bCs/>
              </w:rPr>
              <w:t xml:space="preserve">Marginal contrasts on the logarithmic scale for the effect of a increase from the 10th to the 90th percentile of the endocrine disrupting chemicals (EDCs) on the glucocorticosteroids expressed in ng/ml (HELIX subcohort;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w:t>
            </w:r>
          </w:p>
          <w:bookmarkEnd w:id="164"/>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68" w:name="fig-marginal-3"/>
          <w:p>
            <w:pPr>
              <w:jc w:val="center"/>
            </w:pPr>
            <w:r>
              <w:drawing>
                <wp:inline>
                  <wp:extent cx="5334000" cy="2963333"/>
                  <wp:effectExtent b="0" l="0" r="0" t="0"/>
                  <wp:docPr descr="" title="" id="166" name="Picture"/>
                  <a:graphic>
                    <a:graphicData uri="http://schemas.openxmlformats.org/drawingml/2006/picture">
                      <pic:pic>
                        <pic:nvPicPr>
                          <pic:cNvPr descr="manuscript_files/figure-docx/marginal-3-1.png" id="167" name="Picture"/>
                          <pic:cNvPicPr>
                            <a:picLocks noChangeArrowheads="1" noChangeAspect="1"/>
                          </pic:cNvPicPr>
                        </pic:nvPicPr>
                        <pic:blipFill>
                          <a:blip r:embed="rId165"/>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
                <w:bCs/>
              </w:rPr>
              <w:t xml:space="preserve">Marginal contrasts on the logarithmic scale for the effect of a increase from the 10th to the 90th percentile of the glucocorticosteroids on hit reaction time standard error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 Abbreviations: cortisone production (cortisone prod.); cortisol production (cortisol prod.); corticost. prod. (corticosterone production).</w:t>
            </w:r>
          </w:p>
          <w:bookmarkEnd w:id="168"/>
        </w:tc>
      </w:tr>
    </w:tbl>
    <w:p>
      <w:r>
        <w:br w:type="page"/>
      </w:r>
    </w:p>
    <w:bookmarkEnd w:id="169"/>
    <w:bookmarkEnd w:id="170"/>
    <w:bookmarkStart w:id="172" w:name="supplementary-information"/>
    <w:p>
      <w:pPr>
        <w:pStyle w:val="Heading1"/>
      </w:pPr>
      <w:r>
        <w:t xml:space="preserve">Supplementary information</w:t>
      </w:r>
    </w:p>
    <w:bookmarkStart w:id="171"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71"/>
    <w:bookmarkEnd w:id="172"/>
    <w:bookmarkStart w:id="202" w:name="supplementary-tables"/>
    <w:p>
      <w:pPr>
        <w:pStyle w:val="Heading1"/>
      </w:pPr>
      <w:r>
        <w:t xml:space="preserve">Supplementary tables</w:t>
      </w:r>
    </w:p>
    <w:bookmarkStart w:id="187" w:name="tables-for-descriptive-data-1"/>
    <w:p>
      <w:pPr>
        <w:pStyle w:val="Heading2"/>
      </w:pPr>
      <w:r>
        <w:t xml:space="preserve">Tables for descriptive data</w:t>
      </w:r>
    </w:p>
    <w:bookmarkStart w:id="174" w:name="X3dd11f121b94bf83edf631b791707ae3059cce5"/>
    <w:p>
      <w:pPr>
        <w:pStyle w:val="Heading3"/>
      </w:pPr>
      <w:r>
        <w:t xml:space="preserve">Information about the endocrine disruptors</w:t>
      </w:r>
    </w:p>
    <w:tbl>
      <w:tblPr>
        <w:tblStyle w:val="Table"/>
        <w:tblW w:type="pct" w:w="5000"/>
        <w:jc w:val="left"/>
        <w:tblLayout w:type="fixed"/>
        <w:tblLook w:firstRow="0" w:lastRow="0" w:firstColumn="0" w:lastColumn="0" w:noHBand="0" w:noVBand="0" w:val="0000"/>
      </w:tblPr>
      <w:tblGrid>
        <w:gridCol w:w="7920"/>
      </w:tblGrid>
      <w:tr>
        <w:tc>
          <w:tcPr/>
          <w:bookmarkStart w:id="173"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BBzP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bl>
          <w:p>
            <w:pPr>
              <w:jc w:val="center"/>
            </w:pPr>
            <w:pPr>
              <w:jc w:val="start"/>
              <w:spacing w:before="200"/>
              <w:pStyle w:val="ImageCaption"/>
            </w:pPr>
            <w:r>
              <w:t xml:space="preserve">Table S1:</w:t>
            </w:r>
            <w:r>
              <w:t xml:space="preserve"> </w:t>
            </w:r>
            <w:r>
              <w:rPr>
                <w:b/>
                <w:bCs/>
              </w:rPr>
              <w:t xml:space="preserve">Information about non-persistent endocrine disrupting chemicals (EDCs), including the full compound name, the standard symbol, the used variable name, the identifier from PubChem, and the parental compound.</w:t>
            </w:r>
          </w:p>
          <w:bookmarkEnd w:id="173"/>
        </w:tc>
      </w:tr>
    </w:tbl>
    <w:bookmarkEnd w:id="174"/>
    <w:bookmarkStart w:id="176" w:name="X27d21f98094cbb07d979ff676e2d01ea8aceb5f"/>
    <w:p>
      <w:pPr>
        <w:pStyle w:val="Heading3"/>
      </w:pPr>
      <w:r>
        <w:t xml:space="preserve">Information about the glucocorticosteroids</w:t>
      </w:r>
    </w:p>
    <w:tbl>
      <w:tblPr>
        <w:tblStyle w:val="Table"/>
        <w:tblW w:type="pct" w:w="5000"/>
        <w:jc w:val="left"/>
        <w:tblLayout w:type="fixed"/>
        <w:tblLook w:firstRow="0" w:lastRow="0" w:firstColumn="0" w:lastColumn="0" w:noHBand="0" w:noVBand="0" w:val="0000"/>
      </w:tblPr>
      <w:tblGrid>
        <w:gridCol w:w="7920"/>
      </w:tblGrid>
      <w:tr>
        <w:tc>
          <w:tcPr/>
          <w:bookmarkStart w:id="175"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S2:</w:t>
            </w:r>
            <w:r>
              <w:t xml:space="preserve"> </w:t>
            </w:r>
            <w:r>
              <w:rPr>
                <w:b/>
                <w:bCs/>
              </w:rPr>
              <w:t xml:space="preserve">Information about the glucocorticosteroids, including the full metabolite name, the standard symbol, the identifier from the HMDB, and the CAS number.</w:t>
            </w:r>
          </w:p>
          <w:bookmarkEnd w:id="175"/>
        </w:tc>
      </w:tr>
    </w:tbl>
    <w:bookmarkEnd w:id="176"/>
    <w:bookmarkStart w:id="180" w:name="codebooks"/>
    <w:p>
      <w:pPr>
        <w:pStyle w:val="Heading3"/>
      </w:pPr>
      <w:r>
        <w:t xml:space="preserve">Codebooks</w:t>
      </w:r>
    </w:p>
    <w:tbl>
      <w:tblPr>
        <w:tblStyle w:val="Table"/>
        <w:tblW w:type="pct" w:w="5000"/>
        <w:jc w:val="left"/>
        <w:tblLayout w:type="fixed"/>
        <w:tblLook w:firstRow="0" w:lastRow="0" w:firstColumn="0" w:lastColumn="0" w:noHBand="0" w:noVBand="0" w:val="0000"/>
      </w:tblPr>
      <w:tblGrid>
        <w:gridCol w:w="7920"/>
      </w:tblGrid>
      <w:tr>
        <w:tc>
          <w:tcPr/>
          <w:bookmarkStart w:id="177"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S3:</w:t>
            </w:r>
            <w:r>
              <w:t xml:space="preserve"> </w:t>
            </w:r>
            <w:r>
              <w:rPr>
                <w:b/>
                <w:bCs/>
              </w:rPr>
              <w:t xml:space="preserve">Codebook for the covariates used in the estimation of the marginal comparisons of endocrine disrupting chemicals (EDCs) on hit reaction time standard error (HRT-SE).</w:t>
            </w:r>
          </w:p>
          <w:bookmarkEnd w:id="177"/>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78"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S4:</w:t>
            </w:r>
            <w:r>
              <w:t xml:space="preserve"> </w:t>
            </w:r>
            <w:r>
              <w:rPr>
                <w:b/>
                <w:bCs/>
              </w:rPr>
              <w:t xml:space="preserve">Codebook for the covariates used in the estimation of the marginal comparisons of endocrine disrupting chemicals (EDCs) on the glucocorticosteroids.</w:t>
            </w:r>
          </w:p>
          <w:bookmarkEnd w:id="178"/>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79"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S5:</w:t>
            </w:r>
            <w:r>
              <w:t xml:space="preserve"> </w:t>
            </w:r>
            <w:r>
              <w:rPr>
                <w:b/>
                <w:bCs/>
              </w:rPr>
              <w:t xml:space="preserve">Codebook for the covariates used in the estimation of the marginal comparisons of the glucocorticosteroids on hit reaction time standard error (HRT-SE).</w:t>
            </w:r>
          </w:p>
          <w:bookmarkEnd w:id="179"/>
        </w:tc>
      </w:tr>
    </w:tbl>
    <w:bookmarkEnd w:id="180"/>
    <w:bookmarkStart w:id="182" w:name="X1648560fc56530d4d9e363e88afe88d93501164"/>
    <w:p>
      <w:pPr>
        <w:pStyle w:val="Heading3"/>
      </w:pPr>
      <w:r>
        <w:t xml:space="preserve">Lower limits of quantification of the glucocorticosteroids</w:t>
      </w:r>
    </w:p>
    <w:tbl>
      <w:tblPr>
        <w:tblStyle w:val="Table"/>
        <w:tblW w:type="pct" w:w="5000"/>
        <w:jc w:val="left"/>
        <w:tblLayout w:type="fixed"/>
        <w:tblLook w:firstRow="0" w:lastRow="0" w:firstColumn="0" w:lastColumn="0" w:noHBand="0" w:noVBand="0" w:val="0000"/>
      </w:tblPr>
      <w:tblGrid>
        <w:gridCol w:w="7920"/>
      </w:tblGrid>
      <w:tr>
        <w:tc>
          <w:tcPr/>
          <w:bookmarkStart w:id="181"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LLOQ</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gridSpan w:val="2"/>
                </w:tcPr>
                <w:p>
                  <w:pPr>
                    <w:spacing w:before="0" w:after="60"/>
                    <w:keepNext/>
                  </w:pPr>
                  <w:r>
                    <w:rPr>
                      <w:rFonts w:ascii="Calibri" w:hAnsi="Calibri"/>
                      <w:sz w:val="20"/>
                    </w:rPr>
                    <w:t xml:space="default">Abbreviations: lower limit of quantification (LLOQ).</w:t>
                  </w:r>
                </w:p>
              </w:tc>
            </w:tr>
          </w:tbl>
          <w:p>
            <w:pPr>
              <w:jc w:val="center"/>
            </w:pPr>
            <w:pPr>
              <w:jc w:val="start"/>
              <w:spacing w:before="200"/>
              <w:pStyle w:val="ImageCaption"/>
            </w:pPr>
            <w:r>
              <w:t xml:space="preserve">Table S6:</w:t>
            </w:r>
            <w:r>
              <w:t xml:space="preserve"> </w:t>
            </w:r>
            <w:r>
              <w:rPr>
                <w:b/>
                <w:bCs/>
              </w:rPr>
              <w:t xml:space="preserve">Lower limits of quantification expressed in ng/ml for the glucocorticosteroids (HELIX subcohort; 2013-2016).</w:t>
            </w:r>
          </w:p>
          <w:bookmarkEnd w:id="181"/>
        </w:tc>
      </w:tr>
    </w:tbl>
    <w:bookmarkEnd w:id="182"/>
    <w:bookmarkStart w:id="184" w:name="study-populations-1"/>
    <w:p>
      <w:pPr>
        <w:pStyle w:val="Heading3"/>
      </w:pPr>
      <w:r>
        <w:t xml:space="preserve">Study populations</w:t>
      </w:r>
    </w:p>
    <w:tbl>
      <w:tblPr>
        <w:tblStyle w:val="Table"/>
        <w:tblW w:type="pct" w:w="5000"/>
        <w:jc w:val="left"/>
        <w:tblLayout w:type="fixed"/>
        <w:tblLook w:firstRow="0" w:lastRow="0" w:firstColumn="0" w:lastColumn="0" w:noHBand="0" w:noVBand="0" w:val="0000"/>
      </w:tblPr>
      <w:tblGrid>
        <w:gridCol w:w="7920"/>
      </w:tblGrid>
      <w:tr>
        <w:tc>
          <w:tcPr/>
          <w:bookmarkStart w:id="183" w:name="supptbl-pop-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221</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(6.5,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(8.4,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(6.1,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(8.2,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(6.4,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147.0 (72.4%)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 (65.0%)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196.0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254.0 (95.8%)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(50.3, 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(49.5,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(51.3,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(51.0,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(51.5, 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(50.2, 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192.0 (94.1%)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206.0 (93.2%)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 (95.2%)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(91.5%)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 (57.1%)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(54.3%)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(20.3,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(32.4,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(26.8, 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(21.4,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(25.7,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(21.2, 27.2)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214.0 (96.8%)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(98.0%)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 (52.2%)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 (45.5%)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 (hours)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(2.8,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(3.3,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 (74.3%)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(37.4%)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(10.0,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(3.6,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(8.6,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355.1 (292.1, 397.5)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237.7 (184.7, 307.0)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(197.4, 313.8)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 (324.2, 406.6)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 (193.0, 300.9)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340.9 (281.1, 399.2)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178.0 (87.3%)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(99.1%)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(46.8%)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(90.4%)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p>
            <w:pPr>
              <w:jc w:val="center"/>
            </w:pPr>
            <w:pPr>
              <w:jc w:val="start"/>
              <w:spacing w:before="200"/>
              <w:pStyle w:val="ImageCaption"/>
            </w:pPr>
            <w:r>
              <w:t xml:space="preserve">Table S7:</w:t>
            </w:r>
            <w:r>
              <w:t xml:space="preserve"> </w:t>
            </w:r>
            <w:r>
              <w:rPr>
                <w:b/>
                <w:bCs/>
              </w:rPr>
              <w:t xml:space="preserve">Participant characteristics, by cohort and overall (HELIX subcohort; 2013-2016).</w:t>
            </w:r>
          </w:p>
          <w:bookmarkEnd w:id="183"/>
        </w:tc>
      </w:tr>
    </w:tbl>
    <w:bookmarkEnd w:id="184"/>
    <w:bookmarkStart w:id="186" w:name="Xcb6196f128f6cc86878aba684850c2c40bb135f"/>
    <w:p>
      <w:pPr>
        <w:pStyle w:val="Heading3"/>
      </w:pPr>
      <w:r>
        <w:t xml:space="preserve">Concentrations of the glucocorticosteroids</w:t>
      </w:r>
    </w:p>
    <w:tbl>
      <w:tblPr>
        <w:tblStyle w:val="Table"/>
        <w:tblW w:type="pct" w:w="5000"/>
        <w:jc w:val="left"/>
        <w:tblLayout w:type="fixed"/>
        <w:tblLook w:firstRow="0" w:lastRow="0" w:firstColumn="0" w:lastColumn="0" w:noHBand="0" w:noVBand="0" w:val="0000"/>
      </w:tblPr>
      <w:tblGrid>
        <w:gridCol w:w="7920"/>
      </w:tblGrid>
      <w:tr>
        <w:tc>
          <w:tcPr/>
          <w:bookmarkStart w:id="185" w:name="supptbl-met-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1,004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154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205</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(2.4,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(2.6,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(3.5,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(13.1,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(14.5,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(14.1, 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(10.3,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(12.0, 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(14.1,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 (19.3, 59.4)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(2.9,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234.2 (130.3, 390.5)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259.7 (151.9, 375.0)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413.0 (221.7, 617.0)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(142.9, 365.1)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163.3 (80.7, 298.5)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 (151.5, 408.4)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165.4 (95.9, 304.2)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(29.1, 101.7)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(32.8, 100.6)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 (46.0, 137.6)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 (32.5, 102.1)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 (15.1, 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 (26.4, 92.0)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(28.5, 94.3)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(9.7,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(7.0,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(15.1, 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(10.2,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(7.7,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(11.7, 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(8.7, 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(3.8,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(5.7,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(4.2,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(6.2,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(4.8,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(9.7,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(6.6,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(5.1,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(5.3,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(9.1,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(10.8, 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(12.0, 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(8.0,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(8.5,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(8.4,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(7.9, 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 (52.1, 141.6)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109.8 (61.7, 177.3)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(58.0, 153.8)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(45.9, 118.7)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84.7 (46.9, 145.9)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88.6 (53.7, 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 (47.2, 130.2)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122.4 (70.4, 185.0)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(66.3, 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 (108.8, 226.1)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 (68.9, 178.8)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 (62.9, 189.2)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114.7 (67.8, 172.7)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(72.6, 175.0)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133.1 (76.1, 222.4)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159.8 (101.7, 241.3)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144.2 (87.9, 255.3)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(73.3, 171.7)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(82.6, 245.6)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106.1 (61.1, 184.9)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139.9 (74.6, 260.5)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 (39.7, 124.0)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(52.1, 145.7)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 (41.5, 132.7)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(32.3, 97.3)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(40.3, 121.7)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(36.4, 103.9)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107.9 (51.2, 183.2)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2,870.0 (1,663.7, 4,389.0)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3,394.6 (2,288.1, 5,308.1)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3,474.2 (1,856.1, 5,253.4)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2,756.9 (1,565.6, 3,758.3)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2,907.3 (1,656.1, 4,621.2)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2,283.3 (1,259.8, 3,454.6)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3,001.9 (1,652.3, 4,613.6)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147.7 (83.5, 225.8)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 (98.9, 302.3)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(91.1, 252.9)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141.9 (76.6, 187.6)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(80.2, 229.8)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 (86.6, 204.2)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137.7 (79.6, 220.5)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641.9 (366.0, 983.1)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638.3 (385.0, 1,028.2)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903.7 (574.5, 1,296.1)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654.6 (398.7, 890.7)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518.0 (261.2, 870.2)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580.6 (318.0, 901.5)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629.3 (400.9, 962.4)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 (120.1, 302.4)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242.7 (152.0, 356.8)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225.2 (142.1, 371.5)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199.9 (130.5, 289.3)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155.8 (88.0, 270.4)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186.3 (115.5, 269.4)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177.5 (113.7, 301.7)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546.9 (336.3, 837.1)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561.3 (331.3, 889.9)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682.3 (452.0, 1,031.1)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534.1 (372.6, 792.7)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(272.3, 769.3)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496.1 (289.2, 761.3)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563.5 (328.4, 881.5)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 (28.0, 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 (27.5, 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 (34.9,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(29.7, 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 (27.5, 89.7)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(24.7, 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(28.4, 76.7)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3,138.3 (1,889.5, 4,694.0)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3,552.8 (2,335.3, 4,797.4)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3,649.6 (2,293.5, 5,317.1)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2,911.6 (1,615.2, 4,050.7)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2,754.6 (1,448.0, 3,989.3)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3,070.1 (1,785.5, 4,637.7)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3,541.6 (2,010.1, 5,901.3)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906.5 (548.0, 1,416.1)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1,116.2 (660.8, 1,644.8)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1,238.6 (743.1, 1,578.3)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882.9 (542.6, 1,199.8)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753.9 (389.4, 1,258.7)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859.7 (492.9, 1,261.3)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881.5 (565.0, 1,441.1)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(6.5,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(7.6,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(6.1,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(7.1,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(6.4,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(8.7, 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 (22.5, 76.7)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 (29.8, 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 (29.8, 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 (18.5,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 (19.7, 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(27.9,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(21.1, 93.2)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(0.4,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(15.1,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(11.1,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 (23.5,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(13.2,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(10.8,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(17.5,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(15.7, 32.2)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(18.5, 50.5)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(20.7, 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(19.8, 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 (17.6, 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 (18.6, 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(14.2,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 (20.0, 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 (112.8, 342.0)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 (87.6, 246.3)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 (230.8, 542.8)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253.4 (150.0, 404.4)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 (82.4, 273.7)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176.4 (112.9, 283.3)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 (104.9, 306.3)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(78.1, 394.0)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 (72.0, 267.9)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552.2 (308.7, 980.2)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 (129.1, 513.8)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98.4 (39.6, 227.5)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 (63.4, 293.1)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(61.6, 226.5)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 (50.7, 237.8)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(32.6, 151.0)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369.7 (231.8, 561.0)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(84.0, 306.1)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 (37.6, 122.6)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 (45.8, 184.0)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(41.2, 147.0)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p>
            <w:pPr>
              <w:jc w:val="center"/>
            </w:pPr>
            <w:pPr>
              <w:jc w:val="start"/>
              <w:spacing w:before="200"/>
              <w:pStyle w:val="ImageCaption"/>
            </w:pPr>
            <w:r>
              <w:t xml:space="preserve">Table S8:</w:t>
            </w:r>
            <w:r>
              <w:t xml:space="preserve"> </w:t>
            </w:r>
            <w:r>
              <w:rPr>
                <w:b/>
                <w:bCs/>
              </w:rPr>
              <w:t xml:space="preserve">Participants glucocorticosteroids concentrations, by cohort and overall (HELIX subcohort; 2013-2016).</w:t>
            </w:r>
          </w:p>
          <w:bookmarkEnd w:id="185"/>
        </w:tc>
      </w:tr>
    </w:tbl>
    <w:bookmarkEnd w:id="186"/>
    <w:bookmarkEnd w:id="187"/>
    <w:bookmarkStart w:id="196" w:name="tables-for-main-results"/>
    <w:p>
      <w:pPr>
        <w:pStyle w:val="Heading2"/>
      </w:pPr>
      <w:r>
        <w:t xml:space="preserve">Tables for main results</w:t>
      </w:r>
    </w:p>
    <w:bookmarkStart w:id="191" w:name="balancing-weights-sample-sizes"/>
    <w:p>
      <w:pPr>
        <w:pStyle w:val="Heading3"/>
      </w:pPr>
      <w:r>
        <w:t xml:space="preserve">Balancing weights: sample sizes</w:t>
      </w:r>
    </w:p>
    <w:tbl>
      <w:tblPr>
        <w:tblStyle w:val="Table"/>
        <w:tblW w:type="pct" w:w="5000"/>
        <w:jc w:val="left"/>
        <w:tblLayout w:type="fixed"/>
        <w:tblLook w:firstRow="0" w:lastRow="0" w:firstColumn="0" w:lastColumn="0" w:noHBand="0" w:noVBand="0" w:val="0000"/>
      </w:tblPr>
      <w:tblGrid>
        <w:gridCol w:w="7920"/>
      </w:tblGrid>
      <w:tr>
        <w:tc>
          <w:tcPr/>
          <w:bookmarkStart w:id="188"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
                <w:bCs/>
              </w:rPr>
              <w:t xml:space="preserve">Effective sample size before and after balancing weights estimation (exposures: endocrine disrupting chemicals (EDCs); outcome: hit reaction time standard error (HRT-SE)) (HELIX subcohort; 2013-2016).</w:t>
            </w:r>
          </w:p>
          <w:bookmarkEnd w:id="188"/>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89"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856.4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893.3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690.9</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
                <w:bCs/>
              </w:rPr>
              <w:t xml:space="preserve">Effective sample size before and after balancing weights estimation (exposures: endocrine disrupting chemicals (EDCs); outcomes: glucocorticosteroids) (HELIX subcohort; 2013-2016).</w:t>
            </w:r>
          </w:p>
          <w:bookmarkEnd w:id="189"/>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90"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751.5</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
                <w:bCs/>
              </w:rPr>
              <w:t xml:space="preserve">Effective sample size before and after balancing weights estimation (exposures: glucocorticosteroids; outcome: hit reaction time standard error (HRT-SE)) (HELIX subcohort; 2013-2016).</w:t>
            </w:r>
          </w:p>
          <w:bookmarkEnd w:id="190"/>
        </w:tc>
      </w:tr>
    </w:tbl>
    <w:bookmarkEnd w:id="191"/>
    <w:bookmarkStart w:id="195" w:name="balancing-weights-summary-statistics"/>
    <w:p>
      <w:pPr>
        <w:pStyle w:val="Heading3"/>
      </w:pPr>
      <w:r>
        <w:t xml:space="preserve">Balancing weights: summary statistics</w:t>
      </w:r>
    </w:p>
    <w:tbl>
      <w:tblPr>
        <w:tblStyle w:val="Table"/>
        <w:tblW w:type="pct" w:w="5000"/>
        <w:jc w:val="left"/>
        <w:tblLayout w:type="fixed"/>
        <w:tblLook w:firstRow="0" w:lastRow="0" w:firstColumn="0" w:lastColumn="0" w:noHBand="0" w:noVBand="0" w:val="0000"/>
      </w:tblPr>
      <w:tblGrid>
        <w:gridCol w:w="7920"/>
      </w:tblGrid>
      <w:tr>
        <w:tc>
          <w:tcPr/>
          <w:bookmarkStart w:id="192"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2143289344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
                <w:bCs/>
              </w:rPr>
              <w:t xml:space="preserve">Summary statistics of the estimated balancing weights (exposures: endocrine disrupting chemicals (EDCs); outcome: hit reaction time standard error (HRT-SE)) (HELIX subcohort; 2013-2016).</w:t>
            </w:r>
          </w:p>
          <w:bookmarkEnd w:id="192"/>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93"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(0.65,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
                <w:bCs/>
              </w:rPr>
              <w:t xml:space="preserve">Summary statistics of the estimated balancing weights (exposures: endocrine disrupting chemicals (EDCs); outcomes: glucocorticosteroids) (HELIX subcohort; 2013-2016).</w:t>
            </w:r>
          </w:p>
          <w:bookmarkEnd w:id="193"/>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94"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
                <w:bCs/>
              </w:rPr>
              <w:t xml:space="preserve">Summary statistics of the estimated balancing weights (exposures: glucocorticosteroids; outcome: hit reaction time standard error (HRT-SE)) (HELIX subcohort; 2013-2016).</w:t>
            </w:r>
          </w:p>
          <w:bookmarkEnd w:id="194"/>
        </w:tc>
      </w:tr>
    </w:tbl>
    <w:bookmarkEnd w:id="195"/>
    <w:bookmarkEnd w:id="196"/>
    <w:bookmarkStart w:id="201" w:name="tables-for-other-results"/>
    <w:p>
      <w:pPr>
        <w:pStyle w:val="Heading2"/>
      </w:pPr>
      <w:r>
        <w:t xml:space="preserve">Tables for other results</w:t>
      </w:r>
    </w:p>
    <w:bookmarkStart w:id="200" w:name="X3feb8d4de640dcb7c28adcb0ef65dd3ddb7cb7d"/>
    <w:p>
      <w:pPr>
        <w:pStyle w:val="Heading3"/>
      </w:pPr>
      <w:r>
        <w:t xml:space="preserve">Balancing weights for effect modification: summary statistics</w:t>
      </w:r>
    </w:p>
    <w:tbl>
      <w:tblPr>
        <w:tblStyle w:val="Table"/>
        <w:tblW w:type="pct" w:w="5000"/>
        <w:jc w:val="left"/>
        <w:tblLayout w:type="fixed"/>
        <w:tblLook w:firstRow="0" w:lastRow="0" w:firstColumn="0" w:lastColumn="0" w:noHBand="0" w:noVBand="0" w:val="0000"/>
      </w:tblPr>
      <w:tblGrid>
        <w:gridCol w:w="7920"/>
      </w:tblGrid>
      <w:tr>
        <w:tc>
          <w:tcPr/>
          <w:bookmarkStart w:id="197"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(0.62,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(0.56,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
                <w:bCs/>
              </w:rPr>
              <w:t xml:space="preserve">Summary statistics of the estimated balancing weights for effect modification (exposures: endocrine disrupting chemicals (EDCs); outcome: hit reaction time standard error (HRT-SE); modifier: sex) (HELIX subcohort; 2013-2016).</w:t>
            </w:r>
          </w:p>
          <w:bookmarkEnd w:id="197"/>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98"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(0.78,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(0.76,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S16:</w:t>
            </w:r>
            <w:r>
              <w:t xml:space="preserve"> </w:t>
            </w:r>
            <w:r>
              <w:rPr>
                <w:b/>
                <w:bCs/>
              </w:rPr>
              <w:t xml:space="preserve">Summary statistics of the estimated balancing weights for effect modification (exposures: endocrine disrupting chemicals (EDCs); outcomes: glucocorticosteroids; modifier: sex) (HELIX subcohort; 2013-2016).</w:t>
            </w:r>
          </w:p>
          <w:bookmarkEnd w:id="198"/>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99"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S17:</w:t>
            </w:r>
            <w:r>
              <w:t xml:space="preserve"> </w:t>
            </w:r>
            <w:r>
              <w:rPr>
                <w:b/>
                <w:bCs/>
              </w:rPr>
              <w:t xml:space="preserve">Summary statistics of the estimated balancing weights for effect modification (exposures: glucocorticosteroids; outcome: hit reaction time standard error (HRT-SE); modifier: sex) (HELIX subcohort; 2013-2016).</w:t>
            </w:r>
          </w:p>
          <w:bookmarkEnd w:id="199"/>
        </w:tc>
      </w:tr>
    </w:tbl>
    <w:bookmarkEnd w:id="200"/>
    <w:bookmarkEnd w:id="201"/>
    <w:bookmarkEnd w:id="202"/>
    <w:bookmarkStart w:id="233" w:name="supplementary-figures"/>
    <w:p>
      <w:pPr>
        <w:pStyle w:val="Heading1"/>
      </w:pPr>
      <w:r>
        <w:t xml:space="preserve">Supplementary figures</w:t>
      </w:r>
    </w:p>
    <w:bookmarkStart w:id="218" w:name="figures-for-descriptive-data"/>
    <w:p>
      <w:pPr>
        <w:pStyle w:val="Heading2"/>
      </w:pPr>
      <w:r>
        <w:t xml:space="preserve">Figures for descriptive data</w:t>
      </w:r>
    </w:p>
    <w:bookmarkStart w:id="207" w:name="study-populations-2"/>
    <w:p>
      <w:pPr>
        <w:pStyle w:val="Heading3"/>
      </w:pPr>
      <w:r>
        <w:t xml:space="preserve">Study populations</w:t>
      </w:r>
    </w:p>
    <w:tbl>
      <w:tblPr>
        <w:tblStyle w:val="Table"/>
        <w:tblW w:type="pct" w:w="5000"/>
        <w:jc w:val="left"/>
        <w:tblLayout w:type="fixed"/>
        <w:tblLook w:firstRow="0" w:lastRow="0" w:firstColumn="0" w:lastColumn="0" w:noHBand="0" w:noVBand="0" w:val="0000"/>
      </w:tblPr>
      <w:tblGrid>
        <w:gridCol w:w="7920"/>
      </w:tblGrid>
      <w:tr>
        <w:tc>
          <w:tcPr/>
          <w:bookmarkStart w:id="206" w:name="suppfig-flow-pop"/>
          <w:p>
            <w:pPr>
              <w:jc w:val="center"/>
            </w:pPr>
          </w:p>
          <w:p>
            <w:pPr>
              <w:jc w:val="center"/>
            </w:pPr>
            <w:r>
              <w:drawing>
                <wp:inline>
                  <wp:extent cx="5111496" cy="3419856"/>
                  <wp:effectExtent b="0" l="0" r="0" t="0"/>
                  <wp:docPr descr="" title="" id="204" name="Picture"/>
                  <a:graphic>
                    <a:graphicData uri="http://schemas.openxmlformats.org/drawingml/2006/picture">
                      <pic:pic>
                        <pic:nvPicPr>
                          <pic:cNvPr descr="manuscript_files/figure-docx/mermaid-figure-1.png" id="205" name="Picture"/>
                          <pic:cNvPicPr>
                            <a:picLocks noChangeArrowheads="1" noChangeAspect="1"/>
                          </pic:cNvPicPr>
                        </pic:nvPicPr>
                        <pic:blipFill>
                          <a:blip r:embed="rId203"/>
                          <a:stretch>
                            <a:fillRect/>
                          </a:stretch>
                        </pic:blipFill>
                        <pic:spPr bwMode="auto">
                          <a:xfrm>
                            <a:off x="0" y="0"/>
                            <a:ext cx="5111496" cy="3419856"/>
                          </a:xfrm>
                          <a:prstGeom prst="rect">
                            <a:avLst/>
                          </a:prstGeom>
                          <a:noFill/>
                          <a:ln w="9525">
                            <a:noFill/>
                            <a:headEnd/>
                            <a:tailEnd/>
                          </a:ln>
                        </pic:spPr>
                      </pic:pic>
                    </a:graphicData>
                  </a:graphic>
                </wp:inline>
              </w:drawing>
            </w:r>
          </w:p>
          <w:p>
            <w:pPr>
              <w:jc w:val="center"/>
            </w:pPr>
          </w:p>
          <w:p>
            <w:pPr>
              <w:jc w:val="center"/>
            </w:pPr>
            <w:pPr>
              <w:jc w:val="start"/>
              <w:spacing w:before="200"/>
              <w:pStyle w:val="ImageCaption"/>
            </w:pPr>
            <w:r>
              <w:t xml:space="preserve">Figure S1: Flowchart describing the sample size for each research question.</w:t>
            </w:r>
          </w:p>
          <w:bookmarkEnd w:id="206"/>
        </w:tc>
      </w:tr>
    </w:tbl>
    <w:bookmarkEnd w:id="207"/>
    <w:bookmarkStart w:id="212" w:name="description-of-endocrine-disruptors"/>
    <w:p>
      <w:pPr>
        <w:pStyle w:val="Heading3"/>
      </w:pPr>
      <w:r>
        <w:t xml:space="preserve">Description of endocrine disruptors</w:t>
      </w:r>
    </w:p>
    <w:tbl>
      <w:tblPr>
        <w:tblStyle w:val="Table"/>
        <w:tblW w:type="pct" w:w="5000"/>
        <w:jc w:val="left"/>
        <w:tblLayout w:type="fixed"/>
        <w:tblLook w:firstRow="0" w:lastRow="0" w:firstColumn="0" w:lastColumn="0" w:noHBand="0" w:noVBand="0" w:val="0000"/>
      </w:tblPr>
      <w:tblGrid>
        <w:gridCol w:w="7920"/>
      </w:tblGrid>
      <w:tr>
        <w:tc>
          <w:tcPr/>
          <w:bookmarkStart w:id="211" w:name="suppfig-desc-chems"/>
          <w:p>
            <w:pPr>
              <w:jc w:val="center"/>
            </w:pPr>
            <w:r>
              <w:drawing>
                <wp:inline>
                  <wp:extent cx="5334000" cy="6223000"/>
                  <wp:effectExtent b="0" l="0" r="0" t="0"/>
                  <wp:docPr descr="" title="" id="209" name="Picture"/>
                  <a:graphic>
                    <a:graphicData uri="http://schemas.openxmlformats.org/drawingml/2006/picture">
                      <pic:pic>
                        <pic:nvPicPr>
                          <pic:cNvPr descr="manuscript_files/figure-docx/desc-chems-lod-1.png" id="210" name="Picture"/>
                          <pic:cNvPicPr>
                            <a:picLocks noChangeArrowheads="1" noChangeAspect="1"/>
                          </pic:cNvPicPr>
                        </pic:nvPicPr>
                        <pic:blipFill>
                          <a:blip r:embed="rId208"/>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
                <w:bCs/>
              </w:rPr>
              <w:t xml:space="preserve">Measurement classification of endocrine disrupting chemicals (EDCs), by cohort (HELIX subcohort; 2013-2016).</w:t>
            </w:r>
            <w:r>
              <w:t xml:space="preserve"> </w:t>
            </w:r>
            <w:r>
              <w:t xml:space="preserve">Coding: 1, quantifiable; 2, &lt;LOD; 3, interference or out of range; 4. not analysed.</w:t>
            </w:r>
          </w:p>
          <w:bookmarkEnd w:id="211"/>
        </w:tc>
      </w:tr>
    </w:tbl>
    <w:bookmarkEnd w:id="212"/>
    <w:bookmarkStart w:id="217" w:name="description-of-glucocorticosteroids"/>
    <w:p>
      <w:pPr>
        <w:pStyle w:val="Heading3"/>
      </w:pPr>
      <w:r>
        <w:t xml:space="preserve">Description of glucocorticosteroids</w:t>
      </w:r>
    </w:p>
    <w:tbl>
      <w:tblPr>
        <w:tblStyle w:val="Table"/>
        <w:tblW w:type="pct" w:w="5000"/>
        <w:jc w:val="left"/>
        <w:tblLayout w:type="fixed"/>
        <w:tblLook w:firstRow="0" w:lastRow="0" w:firstColumn="0" w:lastColumn="0" w:noHBand="0" w:noVBand="0" w:val="0000"/>
      </w:tblPr>
      <w:tblGrid>
        <w:gridCol w:w="7920"/>
      </w:tblGrid>
      <w:tr>
        <w:tc>
          <w:tcPr/>
          <w:bookmarkStart w:id="216" w:name="suppfig-desc-mets"/>
          <w:p>
            <w:pPr>
              <w:jc w:val="center"/>
            </w:pPr>
            <w:r>
              <w:drawing>
                <wp:inline>
                  <wp:extent cx="5334000" cy="6223000"/>
                  <wp:effectExtent b="0" l="0" r="0" t="0"/>
                  <wp:docPr descr="" title="" id="214" name="Picture"/>
                  <a:graphic>
                    <a:graphicData uri="http://schemas.openxmlformats.org/drawingml/2006/picture">
                      <pic:pic>
                        <pic:nvPicPr>
                          <pic:cNvPr descr="manuscript_files/figure-docx/desc-mets-lod-1.png" id="215" name="Picture"/>
                          <pic:cNvPicPr>
                            <a:picLocks noChangeArrowheads="1" noChangeAspect="1"/>
                          </pic:cNvPicPr>
                        </pic:nvPicPr>
                        <pic:blipFill>
                          <a:blip r:embed="rId213"/>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
                <w:bCs/>
              </w:rPr>
              <w:t xml:space="preserve">Measurement classification of the glucocorticosteroids, by cohort (HELIX subcohort; 2013-2016).</w:t>
            </w:r>
            <w:r>
              <w:t xml:space="preserve"> </w:t>
            </w:r>
            <w:r>
              <w:t xml:space="preserve">Coding: 1, quantifiable; 2, &lt;LOQ; 3, interference or out of range; 4, not detected.</w:t>
            </w:r>
          </w:p>
          <w:bookmarkEnd w:id="216"/>
        </w:tc>
      </w:tr>
    </w:tbl>
    <w:bookmarkEnd w:id="217"/>
    <w:bookmarkEnd w:id="218"/>
    <w:bookmarkStart w:id="232" w:name="figures-for-other-results"/>
    <w:p>
      <w:pPr>
        <w:pStyle w:val="Heading2"/>
      </w:pPr>
      <w:r>
        <w:t xml:space="preserve">Figures for other results</w:t>
      </w:r>
    </w:p>
    <w:bookmarkStart w:id="231" w:name="X0effc2a5a10272e84becf53856373ad8fc9d66f"/>
    <w:p>
      <w:pPr>
        <w:pStyle w:val="Heading3"/>
      </w:pPr>
      <w:r>
        <w:t xml:space="preserve">Marginal contrasts for effect modification</w:t>
      </w:r>
    </w:p>
    <w:tbl>
      <w:tblPr>
        <w:tblStyle w:val="Table"/>
        <w:tblW w:type="pct" w:w="5000"/>
        <w:jc w:val="left"/>
        <w:tblLayout w:type="fixed"/>
        <w:tblLook w:firstRow="0" w:lastRow="0" w:firstColumn="0" w:lastColumn="0" w:noHBand="0" w:noVBand="0" w:val="0000"/>
      </w:tblPr>
      <w:tblGrid>
        <w:gridCol w:w="7920"/>
      </w:tblGrid>
      <w:tr>
        <w:tc>
          <w:tcPr/>
          <w:bookmarkStart w:id="222" w:name="suppfig-marginal-1sa"/>
          <w:p>
            <w:pPr>
              <w:jc w:val="center"/>
            </w:pPr>
            <w:r>
              <w:drawing>
                <wp:inline>
                  <wp:extent cx="5334000" cy="6223000"/>
                  <wp:effectExtent b="0" l="0" r="0" t="0"/>
                  <wp:docPr descr="" title="" id="220" name="Picture"/>
                  <a:graphic>
                    <a:graphicData uri="http://schemas.openxmlformats.org/drawingml/2006/picture">
                      <pic:pic>
                        <pic:nvPicPr>
                          <pic:cNvPr descr="manuscript_files/figure-docx/marginal-1sa-1.png" id="221" name="Picture"/>
                          <pic:cNvPicPr>
                            <a:picLocks noChangeArrowheads="1" noChangeAspect="1"/>
                          </pic:cNvPicPr>
                        </pic:nvPicPr>
                        <pic:blipFill>
                          <a:blip r:embed="rId219"/>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
                <w:bCs/>
              </w:rPr>
              <w:t xml:space="preserve">Marginal contrasts on the logarithmic scale for effect modification by sex of a increase from the 10th to the 90th percentile of the endocrine disrupting chemicals (EDCs) on hit reaction time standard error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w:t>
            </w:r>
          </w:p>
          <w:bookmarkEnd w:id="222"/>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226" w:name="suppfig-marginal-2sa"/>
          <w:p>
            <w:pPr>
              <w:jc w:val="center"/>
            </w:pPr>
            <w:r>
              <w:drawing>
                <wp:inline>
                  <wp:extent cx="5334000" cy="7112000"/>
                  <wp:effectExtent b="0" l="0" r="0" t="0"/>
                  <wp:docPr descr="" title="" id="224" name="Picture"/>
                  <a:graphic>
                    <a:graphicData uri="http://schemas.openxmlformats.org/drawingml/2006/picture">
                      <pic:pic>
                        <pic:nvPicPr>
                          <pic:cNvPr descr="manuscript_files/figure-docx/marginal-2sa-1.png" id="225" name="Picture"/>
                          <pic:cNvPicPr>
                            <a:picLocks noChangeArrowheads="1" noChangeAspect="1"/>
                          </pic:cNvPicPr>
                        </pic:nvPicPr>
                        <pic:blipFill>
                          <a:blip r:embed="rId223"/>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
                <w:bCs/>
              </w:rPr>
              <w:t xml:space="preserve">Marginal contrasts on the logarithmic scale for effect modification by sex of a increase from the 10th to the 90th percentile of the endocrine disrupting chemicals (EDCs) on the glucocorticosteroids expressed in ng/ml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w:t>
            </w:r>
          </w:p>
          <w:bookmarkEnd w:id="226"/>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230" w:name="suppfig-marginal-3sa"/>
          <w:p>
            <w:pPr>
              <w:jc w:val="center"/>
            </w:pPr>
            <w:r>
              <w:drawing>
                <wp:inline>
                  <wp:extent cx="5334000" cy="4445000"/>
                  <wp:effectExtent b="0" l="0" r="0" t="0"/>
                  <wp:docPr descr="" title="" id="228" name="Picture"/>
                  <a:graphic>
                    <a:graphicData uri="http://schemas.openxmlformats.org/drawingml/2006/picture">
                      <pic:pic>
                        <pic:nvPicPr>
                          <pic:cNvPr descr="manuscript_files/figure-docx/marginal-3sa-1.png" id="229" name="Picture"/>
                          <pic:cNvPicPr>
                            <a:picLocks noChangeArrowheads="1" noChangeAspect="1"/>
                          </pic:cNvPicPr>
                        </pic:nvPicPr>
                        <pic:blipFill>
                          <a:blip r:embed="rId227"/>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S6:</w:t>
            </w:r>
            <w:r>
              <w:t xml:space="preserve"> </w:t>
            </w:r>
            <w:r>
              <w:rPr>
                <w:b/>
                <w:bCs/>
              </w:rPr>
              <w:t xml:space="preserve">Marginal contrasts on the logarithmic scale for effect modification by sex of a increase from the 10th to the 90th percentile of the glucocorticosteroids on hit reaction time standard error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 Abbreviations: cortisone production (cortisone prod.); cortisol production (cortisol prod.); corticost. prod. (corticosterone production).</w:t>
            </w:r>
          </w:p>
          <w:bookmarkEnd w:id="230"/>
        </w:tc>
      </w:tr>
    </w:tbl>
    <w:bookmarkEnd w:id="231"/>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8" Target="media/rId208.png" /><Relationship Type="http://schemas.openxmlformats.org/officeDocument/2006/relationships/image" Id="rId213" Target="media/rId213.png" /><Relationship Type="http://schemas.openxmlformats.org/officeDocument/2006/relationships/image" Id="rId157" Target="media/rId157.png" /><Relationship Type="http://schemas.openxmlformats.org/officeDocument/2006/relationships/image" Id="rId219" Target="media/rId219.png" /><Relationship Type="http://schemas.openxmlformats.org/officeDocument/2006/relationships/image" Id="rId161" Target="media/rId161.png" /><Relationship Type="http://schemas.openxmlformats.org/officeDocument/2006/relationships/image" Id="rId223" Target="media/rId223.png" /><Relationship Type="http://schemas.openxmlformats.org/officeDocument/2006/relationships/image" Id="rId165" Target="media/rId165.png" /><Relationship Type="http://schemas.openxmlformats.org/officeDocument/2006/relationships/image" Id="rId227" Target="media/rId227.png" /><Relationship Type="http://schemas.openxmlformats.org/officeDocument/2006/relationships/image" Id="rId203" Target="media/rId203.png" /><Relationship Type="http://schemas.openxmlformats.org/officeDocument/2006/relationships/hyperlink" Id="rId140"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142" Target="https://doi.org/10.1186/s12874-020-01105-9"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19"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1"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38" Target="https://journals.lww.com/epidem/fulltext/2016/05000/within_subject_pooling_of_biological_samples_to.12.aspx"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7" Target="https://marginaleffects.com/" TargetMode="External" /><Relationship Type="http://schemas.openxmlformats.org/officeDocument/2006/relationships/hyperlink" Id="rId134" Target="https://onlinelibrary.wiley.com/doi/abs/10.1002/jat.1570"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130" Target="https://www.sciencedirect.com/science/article/pii/S0009279709003950"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125" Target="https://www.sciencedirect.com/science/article/pii/S0013935119300507" TargetMode="External" /><Relationship Type="http://schemas.openxmlformats.org/officeDocument/2006/relationships/hyperlink" Id="rId123" Target="https://www.sciencedirect.com/science/article/pii/S0013935119301379" TargetMode="External" /><Relationship Type="http://schemas.openxmlformats.org/officeDocument/2006/relationships/hyperlink" Id="rId127" Target="https://www.sciencedirect.com/science/article/pii/S0013935119304232"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136" Target="https://www.sciencedirect.com/science/article/pii/S0278691519305496" TargetMode="External" /><Relationship Type="http://schemas.openxmlformats.org/officeDocument/2006/relationships/hyperlink" Id="rId132" Target="https://www.sciencedirect.com/science/article/pii/S0300483X11001466" TargetMode="External" /><Relationship Type="http://schemas.openxmlformats.org/officeDocument/2006/relationships/hyperlink" Id="rId68" Target="https://www.sciencedirect.com/science/article/pii/S0892036223000119" TargetMode="External" /></Relationships>
</file>

<file path=word/_rels/footnotes.xml.rels><?xml version="1.0" encoding="UTF-8"?><Relationships xmlns="http://schemas.openxmlformats.org/package/2006/relationships"><Relationship Type="http://schemas.openxmlformats.org/officeDocument/2006/relationships/hyperlink" Id="rId140"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142" Target="https://doi.org/10.1186/s12874-020-01105-9"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19"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1"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38" Target="https://journals.lww.com/epidem/fulltext/2016/05000/within_subject_pooling_of_biological_samples_to.12.aspx"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7" Target="https://marginaleffects.com/" TargetMode="External" /><Relationship Type="http://schemas.openxmlformats.org/officeDocument/2006/relationships/hyperlink" Id="rId134" Target="https://onlinelibrary.wiley.com/doi/abs/10.1002/jat.1570"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130" Target="https://www.sciencedirect.com/science/article/pii/S0009279709003950"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125" Target="https://www.sciencedirect.com/science/article/pii/S0013935119300507" TargetMode="External" /><Relationship Type="http://schemas.openxmlformats.org/officeDocument/2006/relationships/hyperlink" Id="rId123" Target="https://www.sciencedirect.com/science/article/pii/S0013935119301379" TargetMode="External" /><Relationship Type="http://schemas.openxmlformats.org/officeDocument/2006/relationships/hyperlink" Id="rId127" Target="https://www.sciencedirect.com/science/article/pii/S0013935119304232"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136" Target="https://www.sciencedirect.com/science/article/pii/S0278691519305496" TargetMode="External" /><Relationship Type="http://schemas.openxmlformats.org/officeDocument/2006/relationships/hyperlink" Id="rId132" Target="https://www.sciencedirect.com/science/article/pii/S0300483X11001466" TargetMode="External" /><Relationship Type="http://schemas.openxmlformats.org/officeDocument/2006/relationships/hyperlink" Id="rId68" Target="https://www.sciencedirect.com/science/article/pii/S0892036223000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attentional function: A study based on the parametric g-formula</dc:title>
  <dc:creator/>
  <cp:keywords/>
  <dcterms:created xsi:type="dcterms:W3CDTF">2024-03-18T14:20:27Z</dcterms:created>
  <dcterms:modified xsi:type="dcterms:W3CDTF">2024-03-18T14:20:27Z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american-journal-of-epidemiology.csl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