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8.png" ContentType="image/png"/>
  <Override PartName="/word/media/rId157.png" ContentType="image/png"/>
  <Override PartName="/word/media/rId162.png" ContentType="image/png"/>
  <Override PartName="/word/media/rId117.png" ContentType="image/png"/>
  <Override PartName="/word/media/rId121.png" ContentType="image/png"/>
  <Override PartName="/word/media/rId125.png" ContentType="image/png"/>
  <Override PartName="/word/media/rId174.png" ContentType="image/png"/>
  <Override PartName="/word/media/rId178.png" ContentType="image/png"/>
  <Override PartName="/word/media/rId1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7"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effects of the non-persistent EDCs on HRT-SE. Overall, a cohort-specific increase in the levels of the exposures from the 10th to the 90th percentiles was associated with a positive marginal contrast, indicating an increase in the values of HRT-SE. Most of the confidence interval (CI)s included the null effect, though. Statistically significant associations were observed for the phenol MEPA (marginal contrast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effects of the non-persistent EDCs on cortisol production, cortisone production, corticosterone production, and 11bHSD activity, respectively.</w:t>
      </w:r>
    </w:p>
    <w:p>
      <w:pPr>
        <w:pStyle w:val="TextBody"/>
      </w:pPr>
      <w:hyperlink w:anchor="fig-marginal-3">
        <w:r>
          <w:rPr>
            <w:rStyle w:val="InternetLink"/>
          </w:rPr>
          <w:t xml:space="preserve">Figure 3</w:t>
        </w:r>
      </w:hyperlink>
      <w:r>
        <w:t xml:space="preserve"> </w:t>
      </w:r>
      <w:r>
        <w:t xml:space="preserve">presents the forest plot for the marginal effects of the corticosteroids on HRT-SE.</w:t>
      </w:r>
    </w:p>
    <w:p>
      <w:pPr>
        <w:pStyle w:val="TextBody"/>
      </w:pPr>
      <w:r>
        <w:t xml:space="preserve">Results are presented as effect estimate of the marginal contrast and the</w:t>
      </w:r>
      <w:r>
        <w:t xml:space="preserve"> </w:t>
      </w:r>
      <m:oMath>
        <m:r>
          <m:t>95</m:t>
        </m:r>
        <m:r>
          <m:rPr>
            <m:sty m:val="p"/>
          </m:rPr>
          <m:t>%</m:t>
        </m:r>
      </m:oMath>
      <w:r>
        <w:t xml:space="preserve"> </w:t>
      </w:r>
      <w:r>
        <w:t xml:space="preserve">CI.</w:t>
      </w:r>
    </w:p>
    <w:p>
      <w:pPr>
        <w:pStyle w:val="TextBody"/>
      </w:pPr>
      <w:r>
        <w:t xml:space="preserve">suppfig-adrfs-rq…</w:t>
      </w:r>
    </w:p>
    <w:bookmarkEnd w:id="35"/>
    <w:bookmarkStart w:id="36" w:name="sec-res-other"/>
    <w:p>
      <w:pPr>
        <w:pStyle w:val="Heading2"/>
      </w:pPr>
      <w:r>
        <w:t xml:space="preserve">Other analyses</w:t>
      </w:r>
    </w:p>
    <w:p>
      <w:pPr>
        <w:numPr>
          <w:ilvl w:val="0"/>
          <w:numId w:val="1003"/>
        </w:numPr>
        <w:pStyle w:val="Compact"/>
      </w:pPr>
      <w:r>
        <w:t xml:space="preserve">Report other analyses done (e.g., analyses of subgroups and interactions, and sensitivity analyses).</w:t>
      </w:r>
    </w:p>
    <w:bookmarkEnd w:id="36"/>
    <w:bookmarkEnd w:id="37"/>
    <w:bookmarkStart w:id="41" w:name="sec-discussion"/>
    <w:p>
      <w:pPr>
        <w:pStyle w:val="Heading1"/>
      </w:pPr>
      <w:r>
        <w:t xml:space="preserve">Discussion</w:t>
      </w:r>
    </w:p>
    <w:bookmarkStart w:id="38" w:name="sec-disc-res-key"/>
    <w:p>
      <w:pPr>
        <w:pStyle w:val="Heading2"/>
      </w:pPr>
      <w:r>
        <w:t xml:space="preserve">Key results</w:t>
      </w:r>
    </w:p>
    <w:p>
      <w:pPr>
        <w:numPr>
          <w:ilvl w:val="0"/>
          <w:numId w:val="1004"/>
        </w:numPr>
        <w:pStyle w:val="Compact"/>
      </w:pPr>
      <w:r>
        <w:t xml:space="preserve">Summarise key results with reference to study objectives.</w:t>
      </w:r>
    </w:p>
    <w:p>
      <w:pPr>
        <w:numPr>
          <w:ilvl w:val="0"/>
          <w:numId w:val="1004"/>
        </w:numPr>
        <w:pStyle w:val="Compact"/>
      </w:pPr>
      <w:r>
        <w:t xml:space="preserve">Provide a review of the relevant literature to put the study findings into context.</w:t>
      </w:r>
    </w:p>
    <w:p>
      <w:pPr>
        <w:numPr>
          <w:ilvl w:val="1"/>
          <w:numId w:val="1005"/>
        </w:numPr>
        <w:pStyle w:val="Compact"/>
      </w:pPr>
      <w:r>
        <w:t xml:space="preserve">It should be complete and balanced, including inconsistent results.</w:t>
      </w:r>
    </w:p>
    <w:p>
      <w:pPr>
        <w:numPr>
          <w:ilvl w:val="1"/>
          <w:numId w:val="1005"/>
        </w:numPr>
        <w:pStyle w:val="Compact"/>
      </w:pPr>
      <w:r>
        <w:t xml:space="preserve">It should include, for each source, sufficient details: study design, sample size, population, specific exposures and outcomes.</w:t>
      </w:r>
    </w:p>
    <w:bookmarkEnd w:id="38"/>
    <w:bookmarkStart w:id="39" w:name="sec-limitations"/>
    <w:p>
      <w:pPr>
        <w:pStyle w:val="Heading2"/>
      </w:pPr>
      <w:r>
        <w:t xml:space="preserve">Limitations</w:t>
      </w:r>
    </w:p>
    <w:p>
      <w:pPr>
        <w:pStyle w:val="FirstParagraph"/>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29</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average comparisons.</w:t>
      </w:r>
    </w:p>
    <w:bookmarkEnd w:id="39"/>
    <w:bookmarkStart w:id="40" w:name="sec-interpretation"/>
    <w:p>
      <w:pPr>
        <w:pStyle w:val="Heading2"/>
      </w:pPr>
      <w:r>
        <w:t xml:space="preserve">Interpretation</w:t>
      </w:r>
    </w:p>
    <w:p>
      <w:pPr>
        <w:numPr>
          <w:ilvl w:val="0"/>
          <w:numId w:val="1006"/>
        </w:numPr>
        <w:pStyle w:val="Compact"/>
      </w:pPr>
      <w:r>
        <w:t xml:space="preserve">End with a summary of the key findings and their implications for the study hypotheses, future research, and policy.</w:t>
      </w:r>
    </w:p>
    <w:p>
      <w:pPr>
        <w:numPr>
          <w:ilvl w:val="0"/>
          <w:numId w:val="1006"/>
        </w:numPr>
        <w:pStyle w:val="Compact"/>
      </w:pPr>
      <w:r>
        <w:t xml:space="preserve">Give a cautious overall interpretation of results considering objectives, limitations, multiplicity of analyses, results from similar studies, and other relevant evidence.</w:t>
      </w:r>
    </w:p>
    <w:p>
      <w:pPr>
        <w:pStyle w:val="FirstParagraph"/>
      </w:pPr>
      <w:r>
        <w:t xml:space="preserve">In conclusion, in a study of…</w:t>
      </w:r>
    </w:p>
    <w:p>
      <w:r>
        <w:br w:type="page"/>
      </w:r>
    </w:p>
    <w:bookmarkEnd w:id="40"/>
    <w:bookmarkEnd w:id="41"/>
    <w:bookmarkStart w:id="42" w:name="funding"/>
    <w:p>
      <w:pPr>
        <w:pStyle w:val="Heading1"/>
      </w:pPr>
      <w:r>
        <w:t xml:space="preserve">Funding</w:t>
      </w:r>
    </w:p>
    <w:p>
      <w:r>
        <w:br w:type="page"/>
      </w:r>
    </w:p>
    <w:bookmarkEnd w:id="42"/>
    <w:bookmarkStart w:id="99" w:name="references"/>
    <w:p>
      <w:pPr>
        <w:pStyle w:val="Heading1"/>
      </w:pPr>
      <w:r>
        <w:t xml:space="preserve">References</w:t>
      </w:r>
    </w:p>
    <w:bookmarkStart w:id="98" w:name="refs"/>
    <w:bookmarkStart w:id="44"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3">
        <w:r>
          <w:rPr>
            <w:rStyle w:val="InternetLink"/>
          </w:rPr>
          <w:t xml:space="preserve">10.1016/S1474-4422(13)70278-3</w:t>
        </w:r>
      </w:hyperlink>
    </w:p>
    <w:bookmarkEnd w:id="44"/>
    <w:bookmarkStart w:id="46"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5">
        <w:r>
          <w:rPr>
            <w:rStyle w:val="InternetLink"/>
          </w:rPr>
          <w:t xml:space="preserve">10.1016/j.envres.2021.111890</w:t>
        </w:r>
      </w:hyperlink>
    </w:p>
    <w:bookmarkEnd w:id="46"/>
    <w:bookmarkStart w:id="48"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47">
        <w:r>
          <w:rPr>
            <w:rStyle w:val="InternetLink"/>
          </w:rPr>
          <w:t xml:space="preserve">10.1038/nrendo.2016.186</w:t>
        </w:r>
      </w:hyperlink>
    </w:p>
    <w:bookmarkEnd w:id="48"/>
    <w:bookmarkStart w:id="50"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49">
        <w:r>
          <w:rPr>
            <w:rStyle w:val="InternetLink"/>
          </w:rPr>
          <w:t xml:space="preserve">10.1289/ehp.1307204</w:t>
        </w:r>
      </w:hyperlink>
    </w:p>
    <w:bookmarkEnd w:id="50"/>
    <w:bookmarkStart w:id="52"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1">
        <w:r>
          <w:rPr>
            <w:rStyle w:val="InternetLink"/>
          </w:rPr>
          <w:t xml:space="preserve">10.1093/ije/dys112</w:t>
        </w:r>
      </w:hyperlink>
    </w:p>
    <w:bookmarkEnd w:id="52"/>
    <w:bookmarkStart w:id="54"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3">
        <w:r>
          <w:rPr>
            <w:rStyle w:val="InternetLink"/>
          </w:rPr>
          <w:t xml:space="preserve">10.1093/ije/dyv151</w:t>
        </w:r>
      </w:hyperlink>
    </w:p>
    <w:bookmarkEnd w:id="54"/>
    <w:bookmarkStart w:id="56"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5">
        <w:r>
          <w:rPr>
            <w:rStyle w:val="InternetLink"/>
          </w:rPr>
          <w:t xml:space="preserve">10.1093/ije/dyr054</w:t>
        </w:r>
      </w:hyperlink>
    </w:p>
    <w:bookmarkEnd w:id="56"/>
    <w:bookmarkStart w:id="58"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7">
        <w:r>
          <w:rPr>
            <w:rStyle w:val="InternetLink"/>
          </w:rPr>
          <w:t xml:space="preserve">10.3390/ijerph6031282</w:t>
        </w:r>
      </w:hyperlink>
    </w:p>
    <w:bookmarkEnd w:id="58"/>
    <w:bookmarkStart w:id="60"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59">
        <w:r>
          <w:rPr>
            <w:rStyle w:val="InternetLink"/>
          </w:rPr>
          <w:t xml:space="preserve">10.1093/ije/dyl170</w:t>
        </w:r>
      </w:hyperlink>
    </w:p>
    <w:bookmarkEnd w:id="60"/>
    <w:bookmarkStart w:id="62"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1">
        <w:r>
          <w:rPr>
            <w:rStyle w:val="InternetLink"/>
          </w:rPr>
          <w:t xml:space="preserve">10.1093/aje/kwp211</w:t>
        </w:r>
      </w:hyperlink>
    </w:p>
    <w:bookmarkEnd w:id="62"/>
    <w:bookmarkStart w:id="64"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3">
        <w:r>
          <w:rPr>
            <w:rStyle w:val="InternetLink"/>
          </w:rPr>
          <w:t xml:space="preserve">10.1136/bmjopen-2017-021311</w:t>
        </w:r>
      </w:hyperlink>
    </w:p>
    <w:bookmarkEnd w:id="64"/>
    <w:bookmarkStart w:id="66"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5">
        <w:r>
          <w:rPr>
            <w:rStyle w:val="InternetLink"/>
          </w:rPr>
          <w:t xml:space="preserve">10.1093/ije/dyw341</w:t>
        </w:r>
      </w:hyperlink>
    </w:p>
    <w:bookmarkEnd w:id="66"/>
    <w:bookmarkStart w:id="68"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7">
        <w:r>
          <w:rPr>
            <w:rStyle w:val="InternetLink"/>
          </w:rPr>
          <w:t xml:space="preserve">https://github.com/r-causal/ggdag</w:t>
        </w:r>
      </w:hyperlink>
    </w:p>
    <w:bookmarkEnd w:id="68"/>
    <w:bookmarkStart w:id="70"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69">
        <w:r>
          <w:rPr>
            <w:rStyle w:val="InternetLink"/>
          </w:rPr>
          <w:t xml:space="preserve">10.1016/j.envint.2018.09.056</w:t>
        </w:r>
      </w:hyperlink>
    </w:p>
    <w:bookmarkEnd w:id="70"/>
    <w:bookmarkStart w:id="72"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1">
        <w:r>
          <w:rPr>
            <w:rStyle w:val="InternetLink"/>
          </w:rPr>
          <w:t xml:space="preserve">10.1016/j.aca.2013.12.030</w:t>
        </w:r>
      </w:hyperlink>
    </w:p>
    <w:bookmarkEnd w:id="72"/>
    <w:bookmarkStart w:id="74"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3">
        <w:r>
          <w:rPr>
            <w:rStyle w:val="InternetLink"/>
          </w:rPr>
          <w:t xml:space="preserve">10.1016/j.chroma.2020.461179</w:t>
        </w:r>
      </w:hyperlink>
    </w:p>
    <w:bookmarkEnd w:id="74"/>
    <w:bookmarkStart w:id="76"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5">
        <w:r>
          <w:rPr>
            <w:rStyle w:val="InternetLink"/>
          </w:rPr>
          <w:t xml:space="preserve">10.1016/j.neuropsychologia.2003.12.012</w:t>
        </w:r>
      </w:hyperlink>
    </w:p>
    <w:bookmarkEnd w:id="76"/>
    <w:bookmarkStart w:id="78"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7">
        <w:r>
          <w:rPr>
            <w:rStyle w:val="InternetLink"/>
          </w:rPr>
          <w:t xml:space="preserve">10.1371/journal.pmed.1001792</w:t>
        </w:r>
      </w:hyperlink>
    </w:p>
    <w:bookmarkEnd w:id="78"/>
    <w:bookmarkStart w:id="80"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79">
        <w:r>
          <w:rPr>
            <w:rStyle w:val="InternetLink"/>
          </w:rPr>
          <w:t xml:space="preserve">10.18637/jss.v074.i07</w:t>
        </w:r>
      </w:hyperlink>
    </w:p>
    <w:bookmarkEnd w:id="80"/>
    <w:bookmarkStart w:id="82"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1">
        <w:r>
          <w:rPr>
            <w:rStyle w:val="InternetLink"/>
          </w:rPr>
          <w:t xml:space="preserve">10.21105/joss.03139</w:t>
        </w:r>
      </w:hyperlink>
    </w:p>
    <w:bookmarkEnd w:id="82"/>
    <w:bookmarkStart w:id="83"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3"/>
    <w:bookmarkStart w:id="84"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4"/>
    <w:bookmarkStart w:id="86"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5">
        <w:r>
          <w:rPr>
            <w:rStyle w:val="InternetLink"/>
          </w:rPr>
          <w:t xml:space="preserve">10.1080/01621459.2023.2213485</w:t>
        </w:r>
      </w:hyperlink>
    </w:p>
    <w:bookmarkEnd w:id="86"/>
    <w:bookmarkStart w:id="87"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7"/>
    <w:bookmarkStart w:id="89"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8">
        <w:r>
          <w:rPr>
            <w:rStyle w:val="InternetLink"/>
          </w:rPr>
          <w:t xml:space="preserve">10.2139/ssrn.3605606</w:t>
        </w:r>
      </w:hyperlink>
    </w:p>
    <w:bookmarkEnd w:id="89"/>
    <w:bookmarkStart w:id="91"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0">
        <w:r>
          <w:rPr>
            <w:rStyle w:val="InternetLink"/>
          </w:rPr>
          <w:t xml:space="preserve">https://marginaleffects.com/</w:t>
        </w:r>
      </w:hyperlink>
    </w:p>
    <w:bookmarkEnd w:id="91"/>
    <w:bookmarkStart w:id="93"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2">
        <w:r>
          <w:rPr>
            <w:rStyle w:val="InternetLink"/>
          </w:rPr>
          <w:t xml:space="preserve">10.18637/jss.v011.i10</w:t>
        </w:r>
      </w:hyperlink>
    </w:p>
    <w:bookmarkEnd w:id="93"/>
    <w:bookmarkStart w:id="95"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4">
        <w:r>
          <w:rPr>
            <w:rStyle w:val="InternetLink"/>
          </w:rPr>
          <w:t xml:space="preserve">10.18637/jss.v095.i01</w:t>
        </w:r>
      </w:hyperlink>
    </w:p>
    <w:bookmarkEnd w:id="95"/>
    <w:bookmarkStart w:id="97" w:name="ref-CasasBasaganaSakhi:2018"/>
    <w:p>
      <w:pPr>
        <w:pStyle w:val="Bibliography"/>
      </w:pPr>
      <w:r>
        <w:t xml:space="preserve">29.</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96">
        <w:r>
          <w:rPr>
            <w:rStyle w:val="InternetLink"/>
          </w:rPr>
          <w:t xml:space="preserve">10.1016/j.envint.2018.09.046</w:t>
        </w:r>
      </w:hyperlink>
    </w:p>
    <w:bookmarkEnd w:id="97"/>
    <w:bookmarkEnd w:id="98"/>
    <w:p>
      <w:r>
        <w:br w:type="page"/>
      </w:r>
    </w:p>
    <w:bookmarkEnd w:id="99"/>
    <w:bookmarkStart w:id="106" w:name="tables-for-descriptive-data"/>
    <w:p>
      <w:pPr>
        <w:pStyle w:val="Heading1"/>
      </w:pPr>
      <w:r>
        <w:t xml:space="preserve">Tables for descriptive data</w:t>
      </w:r>
    </w:p>
    <w:bookmarkStart w:id="101"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00" w:name="tbl-pop-desc"/>
          <w:p>
            <w:pPr>
              <w:jc w:val="center"/>
            </w:pPr>
            <w:pPr>
              <w:jc w:val="start"/>
              <w:spacing w:before="200"/>
              <w:pStyle w:val="ImageCaption"/>
            </w:pPr>
            <w:r>
              <w:t xml:space="preserve">Table 1: Characteristics of the children included in the analyses,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100"/>
        </w:tc>
      </w:tr>
    </w:tbl>
    <w:bookmarkEnd w:id="101"/>
    <w:bookmarkStart w:id="103"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02" w:name="tbl-edc-desc"/>
          <w:p>
            <w:pPr>
              <w:jc w:val="center"/>
            </w:pPr>
            <w:pPr>
              <w:jc w:val="start"/>
              <w:spacing w:before="200"/>
              <w:pStyle w:val="ImageCaption"/>
            </w:pPr>
            <w:r>
              <w:t xml:space="preserve">Table 2: Levels of unprocessed chemicals,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2"/>
        </w:tc>
      </w:tr>
    </w:tbl>
    <w:bookmarkEnd w:id="103"/>
    <w:bookmarkStart w:id="105"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4" w:name="tbl-met-desc"/>
          <w:p>
            <w:pPr>
              <w:jc w:val="center"/>
            </w:pPr>
            <w:pPr>
              <w:jc w:val="start"/>
              <w:spacing w:before="200"/>
              <w:pStyle w:val="ImageCaption"/>
            </w:pPr>
            <w:r>
              <w:t xml:space="preserve">Table 3: Levels of unprocessed corticosteroids,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4"/>
        </w:tc>
      </w:tr>
    </w:tbl>
    <w:bookmarkEnd w:id="105"/>
    <w:bookmarkEnd w:id="106"/>
    <w:bookmarkStart w:id="111" w:name="tables-for-main-results"/>
    <w:p>
      <w:pPr>
        <w:pStyle w:val="Heading1"/>
      </w:pPr>
      <w:r>
        <w:t xml:space="preserve">Tables for main results</w:t>
      </w:r>
    </w:p>
    <w:bookmarkStart w:id="110"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07" w:name="tbl-marginal-1"/>
          <w:p>
            <w:pPr>
              <w:jc w:val="center"/>
            </w:pPr>
            <w:pPr>
              <w:jc w:val="start"/>
              <w:spacing w:before="200"/>
              <w:pStyle w:val="ImageCaption"/>
            </w:pPr>
            <w:r>
              <w:t xml:space="preserve">Table 4: Marginal comparison results for</w:t>
            </w:r>
            <w:r>
              <w:t xml:space="preserve"> </w:t>
            </w:r>
            <m:oMath>
              <m:r>
                <m:t>h</m:t>
              </m:r>
              <m:r>
                <m:t>i</m:t>
              </m:r>
              <m:r>
                <m:t>t</m:t>
              </m:r>
              <m:r>
                <m:t>r</m:t>
              </m:r>
              <m:r>
                <m:t>t</m:t>
              </m:r>
              <m:r>
                <m:t>s</m:t>
              </m:r>
              <m:r>
                <m:t>e</m:t>
              </m:r>
              <m:r>
                <m:rPr>
                  <m:sty m:val="p"/>
                </m:rPr>
                <m:t>∼</m:t>
              </m:r>
              <m:r>
                <m:t>e</m:t>
              </m:r>
              <m:r>
                <m:t>d</m:t>
              </m:r>
              <m:r>
                <m:t>c</m:t>
              </m:r>
            </m:oMath>
          </w:p>
          <w:bookmarkEnd w:id="10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08" w:name="tbl-marginal-2"/>
          <w:p>
            <w:pPr>
              <w:jc w:val="center"/>
            </w:pPr>
            <w:pPr>
              <w:jc w:val="start"/>
              <w:spacing w:before="200"/>
              <w:pStyle w:val="ImageCaption"/>
            </w:pPr>
            <w:r>
              <w:t xml:space="preserve">Table 5: Marginal comparison results for</w:t>
            </w:r>
            <w:r>
              <w:t xml:space="preserve"> </w:t>
            </w:r>
            <m:oMath>
              <m:r>
                <m:t>m</m:t>
              </m:r>
              <m:r>
                <m:t>e</m:t>
              </m:r>
              <m:r>
                <m:t>t</m:t>
              </m:r>
              <m:r>
                <m:t>a</m:t>
              </m:r>
              <m:r>
                <m:t>b</m:t>
              </m:r>
              <m:r>
                <m:t>o</m:t>
              </m:r>
              <m:r>
                <m:t>l</m:t>
              </m:r>
              <m:r>
                <m:t>i</m:t>
              </m:r>
              <m:r>
                <m:t>t</m:t>
              </m:r>
              <m:r>
                <m:t>e</m:t>
              </m:r>
              <m:r>
                <m:rPr>
                  <m:sty m:val="p"/>
                </m:rPr>
                <m:t>∼</m:t>
              </m:r>
              <m:r>
                <m:t>e</m:t>
              </m:r>
              <m:r>
                <m:t>d</m:t>
              </m:r>
              <m:r>
                <m:t>c</m:t>
              </m:r>
            </m:oMath>
          </w:p>
          <w:bookmarkEnd w:id="10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09" w:name="tbl-marginal-3"/>
          <w:p>
            <w:pPr>
              <w:jc w:val="center"/>
            </w:pPr>
            <w:pPr>
              <w:jc w:val="start"/>
              <w:spacing w:before="200"/>
              <w:pStyle w:val="ImageCaption"/>
            </w:pPr>
            <w:r>
              <w:t xml:space="preserve">Table 6: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09"/>
        </w:tc>
      </w:tr>
    </w:tbl>
    <w:bookmarkEnd w:id="110"/>
    <w:bookmarkEnd w:id="111"/>
    <w:bookmarkStart w:id="116" w:name="tables-for-other-analyses"/>
    <w:p>
      <w:pPr>
        <w:pStyle w:val="Heading1"/>
      </w:pPr>
      <w:r>
        <w:t xml:space="preserve">Tables for other analyses</w:t>
      </w:r>
    </w:p>
    <w:bookmarkStart w:id="115" w:name="marginal-hypothesis"/>
    <w:p>
      <w:pPr>
        <w:pStyle w:val="Heading2"/>
      </w:pPr>
      <w:r>
        <w:t xml:space="preserve">Marginal hypothesis</w:t>
      </w:r>
    </w:p>
    <w:tbl>
      <w:tblPr>
        <w:tblStyle w:val="Table"/>
        <w:tblW w:type="pct" w:w="5000"/>
        <w:tblLook w:firstRow="0" w:lastRow="0" w:firstColumn="0" w:lastColumn="0" w:noHBand="0" w:noVBand="0" w:val="0000"/>
        <w:jc w:val="start"/>
        <w:tblLayout w:type="fixed"/>
      </w:tblPr>
      <w:tblGrid>
        <w:gridCol w:w="7920"/>
      </w:tblGrid>
      <w:tr>
        <w:tc>
          <w:tcPr/>
          <w:bookmarkStart w:id="112" w:name="tbl-hypothesis-1"/>
          <w:p>
            <w:pPr>
              <w:jc w:val="center"/>
            </w:pPr>
            <w:pPr>
              <w:jc w:val="start"/>
              <w:spacing w:before="200"/>
              <w:pStyle w:val="ImageCaption"/>
            </w:pPr>
            <w:r>
              <w:t xml:space="preserve">Table 7: Hypothesis testing results of effect modification by sex for</w:t>
            </w:r>
            <w:r>
              <w:t xml:space="preserve"> </w:t>
            </w:r>
            <m:oMath>
              <m:r>
                <m:t>h</m:t>
              </m:r>
              <m:r>
                <m:t>i</m:t>
              </m:r>
              <m:r>
                <m:t>t</m:t>
              </m:r>
              <m:r>
                <m:t>r</m:t>
              </m:r>
              <m:r>
                <m:t>t</m:t>
              </m:r>
              <m:r>
                <m:t>s</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2"/>
        </w:tc>
      </w:tr>
    </w:tbl>
    <w:tbl>
      <w:tblPr>
        <w:tblStyle w:val="Table"/>
        <w:tblW w:type="pct" w:w="5000"/>
        <w:tblLook w:firstRow="0" w:lastRow="0" w:firstColumn="0" w:lastColumn="0" w:noHBand="0" w:noVBand="0" w:val="0000"/>
        <w:jc w:val="start"/>
        <w:tblLayout w:type="fixed"/>
      </w:tblPr>
      <w:tblGrid>
        <w:gridCol w:w="7920"/>
      </w:tblGrid>
      <w:tr>
        <w:tc>
          <w:tcPr/>
          <w:bookmarkStart w:id="113" w:name="tbl-hypothesis-2"/>
          <w:p>
            <w:pPr>
              <w:jc w:val="center"/>
            </w:pPr>
            <w:pPr>
              <w:jc w:val="start"/>
              <w:spacing w:before="200"/>
              <w:pStyle w:val="ImageCaption"/>
            </w:pPr>
            <w:r>
              <w:t xml:space="preserve">Table 8: Hypothesis testing results of effect modification by sex for</w:t>
            </w:r>
            <w:r>
              <w:t xml:space="preserve"> </w:t>
            </w:r>
            <m:oMath>
              <m:r>
                <m:t>m</m:t>
              </m:r>
              <m:r>
                <m:t>e</m:t>
              </m:r>
              <m:r>
                <m:t>t</m:t>
              </m:r>
              <m:r>
                <m:t>a</m:t>
              </m:r>
              <m:r>
                <m:t>b</m:t>
              </m:r>
              <m:r>
                <m:t>o</m:t>
              </m:r>
              <m:r>
                <m:t>l</m:t>
              </m:r>
              <m:r>
                <m:t>i</m:t>
              </m:r>
              <m:r>
                <m:t>t</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3"/>
        </w:tc>
      </w:tr>
    </w:tbl>
    <w:tbl>
      <w:tblPr>
        <w:tblStyle w:val="Table"/>
        <w:tblW w:type="pct" w:w="5000"/>
        <w:tblLook w:firstRow="0" w:lastRow="0" w:firstColumn="0" w:lastColumn="0" w:noHBand="0" w:noVBand="0" w:val="0000"/>
        <w:jc w:val="start"/>
        <w:tblLayout w:type="fixed"/>
      </w:tblPr>
      <w:tblGrid>
        <w:gridCol w:w="7920"/>
      </w:tblGrid>
      <w:tr>
        <w:tc>
          <w:tcPr/>
          <w:bookmarkStart w:id="114" w:name="tbl-hypothesis-3"/>
          <w:p>
            <w:pPr>
              <w:jc w:val="center"/>
            </w:pPr>
            <w:pPr>
              <w:jc w:val="start"/>
              <w:spacing w:before="200"/>
              <w:pStyle w:val="ImageCaption"/>
            </w:pPr>
            <w:r>
              <w:t xml:space="preserve">Table 9: Hypothesis testing results of effect modification by sex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4"/>
        </w:tc>
      </w:tr>
    </w:tbl>
    <w:p>
      <w:r>
        <w:br w:type="page"/>
      </w:r>
    </w:p>
    <w:p>
      <w:pPr>
        <w:numPr>
          <w:ilvl w:val="0"/>
          <w:numId w:val="1007"/>
        </w:numPr>
        <w:pStyle w:val="Compact"/>
      </w:pPr>
      <w:r>
        <w:t xml:space="preserve">Figure titles and legends should be submitted as single paragraph.</w:t>
      </w:r>
    </w:p>
    <w:bookmarkEnd w:id="115"/>
    <w:bookmarkEnd w:id="116"/>
    <w:bookmarkStart w:id="130" w:name="figures-for-main-results"/>
    <w:p>
      <w:pPr>
        <w:pStyle w:val="Heading1"/>
      </w:pPr>
      <w:r>
        <w:t xml:space="preserve">Figures for main results</w:t>
      </w:r>
    </w:p>
    <w:bookmarkStart w:id="129" w:name="marginal-comparisons-1"/>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20" w:name="fig-marginal-1"/>
          <w:p>
            <w:pPr>
              <w:pStyle w:val="Compact"/>
              <w:jc w:val="center"/>
            </w:pPr>
            <w:r>
              <w:drawing>
                <wp:inline>
                  <wp:extent cx="5943600" cy="6603999"/>
                  <wp:effectExtent b="0" l="0" r="0" t="0"/>
                  <wp:docPr descr="" title="" id="118" name="Picture"/>
                  <a:graphic>
                    <a:graphicData uri="http://schemas.openxmlformats.org/drawingml/2006/picture">
                      <pic:pic>
                        <pic:nvPicPr>
                          <pic:cNvPr descr="manuscript_files/figure-docx/fig-marginal-1-1.png" id="119" name="Picture"/>
                          <pic:cNvPicPr>
                            <a:picLocks noChangeArrowheads="1" noChangeAspect="1"/>
                          </pic:cNvPicPr>
                        </pic:nvPicPr>
                        <pic:blipFill>
                          <a:blip r:embed="rId117"/>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Marginal comparison results for</w:t>
            </w:r>
            <w:r>
              <w:t xml:space="preserve"> </w:t>
            </w:r>
            <m:oMath>
              <m:r>
                <m:t>h</m:t>
              </m:r>
              <m:r>
                <m:t>i</m:t>
              </m:r>
              <m:r>
                <m:t>t</m:t>
              </m:r>
              <m:r>
                <m:t>r</m:t>
              </m:r>
              <m:r>
                <m:t>t</m:t>
              </m:r>
              <m:r>
                <m:t>s</m:t>
              </m:r>
              <m:r>
                <m:t>e</m:t>
              </m:r>
              <m:r>
                <m:rPr>
                  <m:sty m:val="p"/>
                </m:rPr>
                <m:t>∼</m:t>
              </m:r>
              <m:r>
                <m:t>e</m:t>
              </m:r>
              <m:r>
                <m:t>d</m:t>
              </m:r>
              <m:r>
                <m:t>c</m:t>
              </m:r>
            </m:oMath>
          </w:p>
          <w:bookmarkEnd w:id="120"/>
        </w:tc>
      </w:tr>
    </w:tbl>
    <w:tbl>
      <w:tblPr>
        <w:tblStyle w:val="Table"/>
        <w:tblW w:type="pct" w:w="5000"/>
        <w:tblLook w:firstRow="0" w:lastRow="0" w:firstColumn="0" w:lastColumn="0" w:noHBand="0" w:noVBand="0" w:val="0000"/>
        <w:jc w:val="start"/>
        <w:tblLayout w:type="fixed"/>
      </w:tblPr>
      <w:tblGrid>
        <w:gridCol w:w="7920"/>
      </w:tblGrid>
      <w:tr>
        <w:tc>
          <w:tcPr/>
          <w:bookmarkStart w:id="124" w:name="fig-marginal-2"/>
          <w:p>
            <w:pPr>
              <w:pStyle w:val="Compact"/>
              <w:jc w:val="center"/>
            </w:pPr>
            <w:r>
              <w:drawing>
                <wp:inline>
                  <wp:extent cx="5943600" cy="7924799"/>
                  <wp:effectExtent b="0" l="0" r="0" t="0"/>
                  <wp:docPr descr="" title="" id="122" name="Picture"/>
                  <a:graphic>
                    <a:graphicData uri="http://schemas.openxmlformats.org/drawingml/2006/picture">
                      <pic:pic>
                        <pic:nvPicPr>
                          <pic:cNvPr descr="manuscript_files/figure-docx/fig-marginal-2-1.png" id="123" name="Picture"/>
                          <pic:cNvPicPr>
                            <a:picLocks noChangeArrowheads="1" noChangeAspect="1"/>
                          </pic:cNvPicPr>
                        </pic:nvPicPr>
                        <pic:blipFill>
                          <a:blip r:embed="rId121"/>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Marginal comparison results for</w:t>
            </w:r>
            <w:r>
              <w:t xml:space="preserve"> </w:t>
            </w:r>
            <m:oMath>
              <m:r>
                <m:t>p</m:t>
              </m:r>
              <m:r>
                <m:t>r</m:t>
              </m:r>
              <m:r>
                <m:t>o</m:t>
              </m:r>
              <m:r>
                <m:t>d</m:t>
              </m:r>
              <m:r>
                <m:t>u</m:t>
              </m:r>
              <m:r>
                <m:t>c</m:t>
              </m:r>
              <m:r>
                <m:t>t</m:t>
              </m:r>
              <m:r>
                <m:t>i</m:t>
              </m:r>
              <m:r>
                <m:t>o</m:t>
              </m:r>
              <m:r>
                <m:t>n</m:t>
              </m:r>
              <m:r>
                <m:rPr>
                  <m:sty m:val="p"/>
                </m:rPr>
                <m:t>∼</m:t>
              </m:r>
              <m:r>
                <m:t>e</m:t>
              </m:r>
              <m:r>
                <m:t>d</m:t>
              </m:r>
              <m:r>
                <m:t>c</m:t>
              </m:r>
            </m:oMath>
          </w:p>
          <w:bookmarkEnd w:id="124"/>
        </w:tc>
      </w:tr>
    </w:tbl>
    <w:tbl>
      <w:tblPr>
        <w:tblStyle w:val="Table"/>
        <w:tblW w:type="pct" w:w="5000"/>
        <w:tblLook w:firstRow="0" w:lastRow="0" w:firstColumn="0" w:lastColumn="0" w:noHBand="0" w:noVBand="0" w:val="0000"/>
        <w:jc w:val="start"/>
        <w:tblLayout w:type="fixed"/>
      </w:tblPr>
      <w:tblGrid>
        <w:gridCol w:w="7920"/>
      </w:tblGrid>
      <w:tr>
        <w:tc>
          <w:tcPr/>
          <w:bookmarkStart w:id="128" w:name="fig-marginal-3"/>
          <w:p>
            <w:pPr>
              <w:pStyle w:val="Compact"/>
              <w:jc w:val="center"/>
            </w:pPr>
            <w:r>
              <w:drawing>
                <wp:inline>
                  <wp:extent cx="5943600" cy="3301999"/>
                  <wp:effectExtent b="0" l="0" r="0" t="0"/>
                  <wp:docPr descr="" title="" id="126" name="Picture"/>
                  <a:graphic>
                    <a:graphicData uri="http://schemas.openxmlformats.org/drawingml/2006/picture">
                      <pic:pic>
                        <pic:nvPicPr>
                          <pic:cNvPr descr="manuscript_files/figure-docx/fig-marginal-3-1.png" id="127" name="Picture"/>
                          <pic:cNvPicPr>
                            <a:picLocks noChangeArrowheads="1" noChangeAspect="1"/>
                          </pic:cNvPicPr>
                        </pic:nvPicPr>
                        <pic:blipFill>
                          <a:blip r:embed="rId125"/>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28"/>
        </w:tc>
      </w:tr>
    </w:tbl>
    <w:p>
      <w:r>
        <w:br w:type="page"/>
      </w:r>
    </w:p>
    <w:p>
      <w:pPr>
        <w:numPr>
          <w:ilvl w:val="0"/>
          <w:numId w:val="1008"/>
        </w:numPr>
        <w:pStyle w:val="Compact"/>
      </w:pPr>
      <w:r>
        <w:t xml:space="preserve">Files for supplementary data must be accompanied by a summary of the file names and types.</w:t>
      </w:r>
    </w:p>
    <w:bookmarkEnd w:id="129"/>
    <w:bookmarkEnd w:id="130"/>
    <w:bookmarkStart w:id="132" w:name="supplementary-information"/>
    <w:p>
      <w:pPr>
        <w:pStyle w:val="Heading1"/>
      </w:pPr>
      <w:r>
        <w:t xml:space="preserve">Supplementary information</w:t>
      </w:r>
    </w:p>
    <w:bookmarkStart w:id="131"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31"/>
    <w:bookmarkEnd w:id="132"/>
    <w:bookmarkStart w:id="156" w:name="supplementary-tables"/>
    <w:p>
      <w:pPr>
        <w:pStyle w:val="Heading1"/>
      </w:pPr>
      <w:r>
        <w:t xml:space="preserve">Supplementary tables</w:t>
      </w:r>
    </w:p>
    <w:bookmarkStart w:id="142" w:name="tables-for-descriptive-data-1"/>
    <w:p>
      <w:pPr>
        <w:pStyle w:val="Heading2"/>
      </w:pPr>
      <w:r>
        <w:t xml:space="preserve">Tables for descriptive data</w:t>
      </w:r>
    </w:p>
    <w:bookmarkStart w:id="136"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3"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 Codebook for covariates used in</w:t>
            </w:r>
            <w:r>
              <w:t xml:space="preserve"> </w:t>
            </w:r>
            <m:oMath>
              <m:r>
                <m:t>h</m:t>
              </m:r>
              <m:r>
                <m:t>i</m:t>
              </m:r>
              <m:r>
                <m:t>t</m:t>
              </m:r>
              <m:r>
                <m:t>r</m:t>
              </m:r>
              <m:r>
                <m:t>t</m:t>
              </m:r>
              <m:r>
                <m:t>s</m:t>
              </m:r>
              <m:r>
                <m:t>e</m:t>
              </m:r>
              <m:r>
                <m:rPr>
                  <m:sty m:val="p"/>
                </m:rPr>
                <m:t>∼</m:t>
              </m:r>
              <m:r>
                <m:t>e</m:t>
              </m:r>
              <m:r>
                <m:t>d</m:t>
              </m:r>
              <m:r>
                <m:t>c</m:t>
              </m:r>
            </m:oMath>
          </w:p>
          <w:bookmarkEnd w:id="13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4"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 Codebook for covariates used in</w:t>
            </w:r>
            <w:r>
              <w:t xml:space="preserve"> </w:t>
            </w:r>
            <m:oMath>
              <m:r>
                <m:t>m</m:t>
              </m:r>
              <m:r>
                <m:t>e</m:t>
              </m:r>
              <m:r>
                <m:t>t</m:t>
              </m:r>
              <m:r>
                <m:t>a</m:t>
              </m:r>
              <m:r>
                <m:t>b</m:t>
              </m:r>
              <m:r>
                <m:t>o</m:t>
              </m:r>
              <m:r>
                <m:t>l</m:t>
              </m:r>
              <m:r>
                <m:t>i</m:t>
              </m:r>
              <m:r>
                <m:t>t</m:t>
              </m:r>
              <m:r>
                <m:t>e</m:t>
              </m:r>
              <m:r>
                <m:rPr>
                  <m:sty m:val="p"/>
                </m:rPr>
                <m:t>∼</m:t>
              </m:r>
              <m:r>
                <m:t>e</m:t>
              </m:r>
              <m:r>
                <m:t>d</m:t>
              </m:r>
              <m:r>
                <m:t>c</m:t>
              </m:r>
            </m:oMath>
          </w:p>
          <w:bookmarkEnd w:id="13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5"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 Codebook for covariates used in</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35"/>
        </w:tc>
      </w:tr>
    </w:tbl>
    <w:bookmarkEnd w:id="136"/>
    <w:bookmarkStart w:id="138"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37"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 Information about non-persistent EDCs</w:t>
            </w:r>
          </w:p>
          <w:bookmarkEnd w:id="137"/>
        </w:tc>
      </w:tr>
    </w:tbl>
    <w:bookmarkEnd w:id="138"/>
    <w:bookmarkStart w:id="141"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39"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p>
            <w:pPr>
              <w:jc w:val="center"/>
            </w:pPr>
            <w:pPr>
              <w:jc w:val="start"/>
              <w:spacing w:before="200"/>
              <w:pStyle w:val="ImageCaption"/>
            </w:pPr>
            <w:r>
              <w:t xml:space="preserve">Table S5: Information about metabolites</w:t>
            </w:r>
          </w:p>
          <w:bookmarkEnd w:id="13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0"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p>
            <w:pPr>
              <w:jc w:val="center"/>
            </w:pPr>
            <w:pPr>
              <w:jc w:val="start"/>
              <w:spacing w:before="200"/>
              <w:pStyle w:val="ImageCaption"/>
            </w:pPr>
            <w:r>
              <w:t xml:space="preserve">Table S6: Lower limits of quantification for the corticosteroids</w:t>
            </w:r>
          </w:p>
          <w:bookmarkEnd w:id="140"/>
        </w:tc>
      </w:tr>
    </w:tbl>
    <w:bookmarkEnd w:id="141"/>
    <w:bookmarkEnd w:id="142"/>
    <w:bookmarkStart w:id="150" w:name="tables-for-main-results-1"/>
    <w:p>
      <w:pPr>
        <w:pStyle w:val="Heading2"/>
      </w:pPr>
      <w:r>
        <w:t xml:space="preserve">Tables for main results</w:t>
      </w:r>
    </w:p>
    <w:bookmarkStart w:id="149"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43"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S7: Effective sample size before and after weights estimation for</w:t>
            </w:r>
            <w:r>
              <w:t xml:space="preserve"> </w:t>
            </w:r>
            <m:oMath>
              <m:r>
                <m:t>h</m:t>
              </m:r>
              <m:r>
                <m:t>i</m:t>
              </m:r>
              <m:r>
                <m:t>t</m:t>
              </m:r>
              <m:r>
                <m:t>r</m:t>
              </m:r>
              <m:r>
                <m:t>t</m:t>
              </m:r>
              <m:r>
                <m:t>s</m:t>
              </m:r>
              <m:r>
                <m:t>e</m:t>
              </m:r>
              <m:r>
                <m:rPr>
                  <m:sty m:val="p"/>
                </m:rPr>
                <m:t>∼</m:t>
              </m:r>
              <m:r>
                <m:t>e</m:t>
              </m:r>
              <m:r>
                <m:t>d</m:t>
              </m:r>
              <m:r>
                <m:t>c</m:t>
              </m:r>
            </m:oMath>
          </w:p>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S8: Effective sample size before and after weights estimation for</w:t>
            </w:r>
            <w:r>
              <w:t xml:space="preserve"> </w:t>
            </w:r>
            <m:oMath>
              <m:r>
                <m:t>m</m:t>
              </m:r>
              <m:r>
                <m:t>e</m:t>
              </m:r>
              <m:r>
                <m:t>t</m:t>
              </m:r>
              <m:r>
                <m:t>a</m:t>
              </m:r>
              <m:r>
                <m:t>b</m:t>
              </m:r>
              <m:r>
                <m:t>o</m:t>
              </m:r>
              <m:r>
                <m:t>l</m:t>
              </m:r>
              <m:r>
                <m:t>i</m:t>
              </m:r>
              <m:r>
                <m:t>t</m:t>
              </m:r>
              <m:r>
                <m:t>e</m:t>
              </m:r>
              <m:r>
                <m:rPr>
                  <m:sty m:val="p"/>
                </m:rPr>
                <m:t>∼</m:t>
              </m:r>
              <m:r>
                <m:t>e</m:t>
              </m:r>
              <m:r>
                <m:t>d</m:t>
              </m:r>
              <m:r>
                <m:t>c</m:t>
              </m:r>
            </m:oMath>
          </w:p>
          <w:bookmarkEnd w:id="14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5"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S9: Effective sample size before and after weights estimation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5"/>
        </w:tc>
      </w:tr>
    </w:tbl>
    <w:p/>
    <w:tbl>
      <w:tblPr>
        <w:tblStyle w:val="Table"/>
        <w:tblW w:type="pct" w:w="5000"/>
        <w:tblLook w:firstRow="0" w:lastRow="0" w:firstColumn="0" w:lastColumn="0" w:noHBand="0" w:noVBand="0" w:val="0000"/>
        <w:jc w:val="start"/>
        <w:tblLayout w:type="fixed"/>
      </w:tblPr>
      <w:tblGrid>
        <w:gridCol w:w="7920"/>
      </w:tblGrid>
      <w:tr>
        <w:tc>
          <w:tcPr/>
          <w:bookmarkStart w:id="146"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S10: Summary statistics of the estimated balancing weights for</w:t>
            </w:r>
            <w:r>
              <w:t xml:space="preserve"> </w:t>
            </w:r>
            <m:oMath>
              <m:r>
                <m:t>h</m:t>
              </m:r>
              <m:r>
                <m:t>i</m:t>
              </m:r>
              <m:r>
                <m:t>t</m:t>
              </m:r>
              <m:r>
                <m:t>r</m:t>
              </m:r>
              <m:r>
                <m:t>t</m:t>
              </m:r>
              <m:r>
                <m:t>s</m:t>
              </m:r>
              <m:r>
                <m:t>e</m:t>
              </m:r>
              <m:r>
                <m:rPr>
                  <m:sty m:val="p"/>
                </m:rPr>
                <m:t>∼</m:t>
              </m:r>
              <m:r>
                <m:t>e</m:t>
              </m:r>
              <m:r>
                <m:t>d</m:t>
              </m:r>
              <m:r>
                <m:t>c</m:t>
              </m:r>
            </m:oMath>
          </w:p>
          <w:bookmarkEnd w:id="14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7"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S11: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oMath>
          </w:p>
          <w:bookmarkEnd w:id="14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8"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S12: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8"/>
        </w:tc>
      </w:tr>
    </w:tbl>
    <w:bookmarkEnd w:id="149"/>
    <w:bookmarkEnd w:id="150"/>
    <w:bookmarkStart w:id="155" w:name="tables-for-other-results"/>
    <w:p>
      <w:pPr>
        <w:pStyle w:val="Heading2"/>
      </w:pPr>
      <w:r>
        <w:t xml:space="preserve">Tables for other results</w:t>
      </w:r>
    </w:p>
    <w:bookmarkStart w:id="154"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51"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S13: Summary statistics of the estimated balancing weights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5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2"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S14: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5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3"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S15: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53"/>
        </w:tc>
      </w:tr>
    </w:tbl>
    <w:bookmarkEnd w:id="154"/>
    <w:bookmarkEnd w:id="155"/>
    <w:bookmarkEnd w:id="156"/>
    <w:bookmarkStart w:id="189" w:name="supplementary-figures"/>
    <w:p>
      <w:pPr>
        <w:pStyle w:val="Heading1"/>
      </w:pPr>
      <w:r>
        <w:t xml:space="preserve">Supplementary figures</w:t>
      </w:r>
    </w:p>
    <w:bookmarkStart w:id="167" w:name="figures-for-descriptive-data"/>
    <w:p>
      <w:pPr>
        <w:pStyle w:val="Heading2"/>
      </w:pPr>
      <w:r>
        <w:t xml:space="preserve">Figures for descriptive data</w:t>
      </w:r>
    </w:p>
    <w:bookmarkStart w:id="161"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0" w:name="suppfig-desc-chems"/>
          <w:p>
            <w:pPr>
              <w:jc w:val="center"/>
            </w:pPr>
            <w:r>
              <w:drawing>
                <wp:inline>
                  <wp:extent cx="5544151" cy="6468176"/>
                  <wp:effectExtent b="0" l="0" r="0" t="0"/>
                  <wp:docPr descr="" title="" id="158" name="Picture"/>
                  <a:graphic>
                    <a:graphicData uri="http://schemas.openxmlformats.org/drawingml/2006/picture">
                      <pic:pic>
                        <pic:nvPicPr>
                          <pic:cNvPr descr="manuscript_files/figure-docx/desc-chems-lod-1.png" id="159" name="Picture"/>
                          <pic:cNvPicPr>
                            <a:picLocks noChangeArrowheads="1" noChangeAspect="1"/>
                          </pic:cNvPicPr>
                        </pic:nvPicPr>
                        <pic:blipFill>
                          <a:blip r:embed="rId15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Classification of the measured non-persistent EDCs, by cohort.</w:t>
            </w:r>
          </w:p>
          <w:bookmarkEnd w:id="160"/>
        </w:tc>
      </w:tr>
    </w:tbl>
    <w:bookmarkEnd w:id="161"/>
    <w:bookmarkStart w:id="166"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5" w:name="suppfig-desc-mets"/>
          <w:p>
            <w:pPr>
              <w:jc w:val="center"/>
            </w:pPr>
            <w:r>
              <w:drawing>
                <wp:inline>
                  <wp:extent cx="5544151" cy="6468176"/>
                  <wp:effectExtent b="0" l="0" r="0" t="0"/>
                  <wp:docPr descr="" title="" id="163" name="Picture"/>
                  <a:graphic>
                    <a:graphicData uri="http://schemas.openxmlformats.org/drawingml/2006/picture">
                      <pic:pic>
                        <pic:nvPicPr>
                          <pic:cNvPr descr="manuscript_files/figure-docx/desc-mets-lod-1.png" id="164" name="Picture"/>
                          <pic:cNvPicPr>
                            <a:picLocks noChangeArrowheads="1" noChangeAspect="1"/>
                          </pic:cNvPicPr>
                        </pic:nvPicPr>
                        <pic:blipFill>
                          <a:blip r:embed="rId162"/>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Classification of the measured corticosteroids, by cohort.</w:t>
            </w:r>
          </w:p>
          <w:bookmarkEnd w:id="165"/>
        </w:tc>
      </w:tr>
    </w:tbl>
    <w:bookmarkEnd w:id="166"/>
    <w:bookmarkEnd w:id="167"/>
    <w:bookmarkStart w:id="173" w:name="figures-for-main-results-1"/>
    <w:p>
      <w:pPr>
        <w:pStyle w:val="Heading2"/>
      </w:pPr>
      <w:r>
        <w:t xml:space="preserve">Figures for main results</w:t>
      </w:r>
    </w:p>
    <w:bookmarkStart w:id="172" w:name="X31f21f0789112ca31bab86160579086ac95e14c"/>
    <w:p>
      <w:pPr>
        <w:pStyle w:val="Heading3"/>
      </w:pPr>
      <w:r>
        <w:t xml:space="preserve">Average dose-response functions for significant results</w:t>
      </w:r>
    </w:p>
    <w:tbl>
      <w:tblPr>
        <w:tblStyle w:val="Table"/>
        <w:tblW w:type="pct" w:w="5000"/>
        <w:tblLook w:firstRow="0" w:lastRow="0" w:firstColumn="0" w:lastColumn="0" w:noHBand="0" w:noVBand="0" w:val="0000"/>
        <w:jc w:val="start"/>
        <w:tblLayout w:type="fixed"/>
      </w:tblPr>
      <w:tblGrid>
        <w:gridCol w:w="7920"/>
      </w:tblGrid>
      <w:tr>
        <w:tc>
          <w:tcPr/>
          <w:bookmarkStart w:id="171" w:name="suppfig-adrfs-rq3"/>
          <w:p>
            <w:pPr>
              <w:jc w:val="center"/>
            </w:pPr>
            <w:r>
              <w:drawing>
                <wp:inline>
                  <wp:extent cx="5544151" cy="6468176"/>
                  <wp:effectExtent b="0" l="0" r="0" t="0"/>
                  <wp:docPr descr="" title="" id="169" name="Picture"/>
                  <a:graphic>
                    <a:graphicData uri="http://schemas.openxmlformats.org/drawingml/2006/picture">
                      <pic:pic>
                        <pic:nvPicPr>
                          <pic:cNvPr descr="manuscript_files/figure-docx/adrfs-rq3-1.png" id="170" name="Picture"/>
                          <pic:cNvPicPr>
                            <a:picLocks noChangeArrowheads="1" noChangeAspect="1"/>
                          </pic:cNvPicPr>
                        </pic:nvPicPr>
                        <pic:blipFill>
                          <a:blip r:embed="rId168"/>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Average dose-response functions for…</w:t>
            </w:r>
          </w:p>
          <w:bookmarkEnd w:id="171"/>
        </w:tc>
      </w:tr>
    </w:tbl>
    <w:bookmarkEnd w:id="172"/>
    <w:bookmarkEnd w:id="173"/>
    <w:bookmarkStart w:id="188" w:name="figures-for-other-results"/>
    <w:p>
      <w:pPr>
        <w:pStyle w:val="Heading2"/>
      </w:pPr>
      <w:r>
        <w:t xml:space="preserve">Figures for other results</w:t>
      </w:r>
    </w:p>
    <w:bookmarkStart w:id="186" w:name="X32b9be1d778b4a822948bcecdc4b3424eacca29"/>
    <w:p>
      <w:pPr>
        <w:pStyle w:val="Heading3"/>
      </w:pPr>
      <w:r>
        <w:t xml:space="preserve">Marginal comparisons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7" w:name="suppfig-marginal-1sa"/>
          <w:p>
            <w:pPr>
              <w:jc w:val="center"/>
            </w:pPr>
            <w:r>
              <w:drawing>
                <wp:inline>
                  <wp:extent cx="5544151" cy="6468176"/>
                  <wp:effectExtent b="0" l="0" r="0" t="0"/>
                  <wp:docPr descr="" title="" id="175" name="Picture"/>
                  <a:graphic>
                    <a:graphicData uri="http://schemas.openxmlformats.org/drawingml/2006/picture">
                      <pic:pic>
                        <pic:nvPicPr>
                          <pic:cNvPr descr="manuscript_files/figure-docx/marginal-1sa-1.png" id="176" name="Picture"/>
                          <pic:cNvPicPr>
                            <a:picLocks noChangeArrowheads="1" noChangeAspect="1"/>
                          </pic:cNvPicPr>
                        </pic:nvPicPr>
                        <pic:blipFill>
                          <a:blip r:embed="rId174"/>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Marginal comparison results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7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1" w:name="suppfig-marginal-2sa"/>
          <w:p>
            <w:pPr>
              <w:jc w:val="center"/>
            </w:pPr>
            <w:r>
              <w:drawing>
                <wp:inline>
                  <wp:extent cx="5943600" cy="7924799"/>
                  <wp:effectExtent b="0" l="0" r="0" t="0"/>
                  <wp:docPr descr="" title="" id="179" name="Picture"/>
                  <a:graphic>
                    <a:graphicData uri="http://schemas.openxmlformats.org/drawingml/2006/picture">
                      <pic:pic>
                        <pic:nvPicPr>
                          <pic:cNvPr descr="manuscript_files/figure-docx/marginal-2sa-1.png" id="180" name="Picture"/>
                          <pic:cNvPicPr>
                            <a:picLocks noChangeArrowheads="1" noChangeAspect="1"/>
                          </pic:cNvPicPr>
                        </pic:nvPicPr>
                        <pic:blipFill>
                          <a:blip r:embed="rId178"/>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 Marginal comparison results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8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5" w:name="suppfig-marginal-3sa"/>
          <w:p>
            <w:pPr>
              <w:jc w:val="center"/>
            </w:pPr>
            <w:r>
              <w:drawing>
                <wp:inline>
                  <wp:extent cx="5544151" cy="4620126"/>
                  <wp:effectExtent b="0" l="0" r="0" t="0"/>
                  <wp:docPr descr="" title="" id="183" name="Picture"/>
                  <a:graphic>
                    <a:graphicData uri="http://schemas.openxmlformats.org/drawingml/2006/picture">
                      <pic:pic>
                        <pic:nvPicPr>
                          <pic:cNvPr descr="manuscript_files/figure-docx/marginal-3sa-1.png" id="184" name="Picture"/>
                          <pic:cNvPicPr>
                            <a:picLocks noChangeArrowheads="1" noChangeAspect="1"/>
                          </pic:cNvPicPr>
                        </pic:nvPicPr>
                        <pic:blipFill>
                          <a:blip r:embed="rId182"/>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85"/>
        </w:tc>
      </w:tr>
    </w:tbl>
    <w:bookmarkEnd w:id="186"/>
    <w:bookmarkStart w:id="187" w:name="sensitivity-to-exposure-assessment"/>
    <w:p>
      <w:pPr>
        <w:pStyle w:val="Heading3"/>
      </w:pPr>
      <w:r>
        <w:t xml:space="preserve">Sensitivity to exposure assessment</w:t>
      </w:r>
    </w:p>
    <w:bookmarkEnd w:id="187"/>
    <w:bookmarkEnd w:id="188"/>
    <w:bookmarkEnd w:id="189"/>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8" Target="media/rId168.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74" Target="media/rId174.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hyperlink" Id="rId43" Target="https://doi.org/10.1016/S1474-4422(13)70278-3" TargetMode="External" /><Relationship Type="http://schemas.openxmlformats.org/officeDocument/2006/relationships/hyperlink" Id="rId71" Target="https://doi.org/10.1016/j.aca.2013.12.030" TargetMode="External" /><Relationship Type="http://schemas.openxmlformats.org/officeDocument/2006/relationships/hyperlink" Id="rId73" Target="https://doi.org/10.1016/j.chroma.2020.461179" TargetMode="External" /><Relationship Type="http://schemas.openxmlformats.org/officeDocument/2006/relationships/hyperlink" Id="rId96" Target="https://doi.org/10.1016/j.envint.2018.09.046" TargetMode="External" /><Relationship Type="http://schemas.openxmlformats.org/officeDocument/2006/relationships/hyperlink" Id="rId69" Target="https://doi.org/10.1016/j.envint.2018.09.056" TargetMode="External" /><Relationship Type="http://schemas.openxmlformats.org/officeDocument/2006/relationships/hyperlink" Id="rId45" Target="https://doi.org/10.1016/j.envres.2021.111890" TargetMode="External" /><Relationship Type="http://schemas.openxmlformats.org/officeDocument/2006/relationships/hyperlink" Id="rId75" Target="https://doi.org/10.1016/j.neuropsychologia.2003.12.012" TargetMode="External" /><Relationship Type="http://schemas.openxmlformats.org/officeDocument/2006/relationships/hyperlink" Id="rId47" Target="https://doi.org/10.1038/nrendo.2016.186" TargetMode="External" /><Relationship Type="http://schemas.openxmlformats.org/officeDocument/2006/relationships/hyperlink" Id="rId85" Target="https://doi.org/10.1080/01621459.2023.2213485" TargetMode="External" /><Relationship Type="http://schemas.openxmlformats.org/officeDocument/2006/relationships/hyperlink" Id="rId61" Target="https://doi.org/10.1093/aje/kwp211" TargetMode="External" /><Relationship Type="http://schemas.openxmlformats.org/officeDocument/2006/relationships/hyperlink" Id="rId59" Target="https://doi.org/10.1093/ije/dyl170" TargetMode="External" /><Relationship Type="http://schemas.openxmlformats.org/officeDocument/2006/relationships/hyperlink" Id="rId55" Target="https://doi.org/10.1093/ije/dyr054" TargetMode="External" /><Relationship Type="http://schemas.openxmlformats.org/officeDocument/2006/relationships/hyperlink" Id="rId51" Target="https://doi.org/10.1093/ije/dys112" TargetMode="External" /><Relationship Type="http://schemas.openxmlformats.org/officeDocument/2006/relationships/hyperlink" Id="rId53" Target="https://doi.org/10.1093/ije/dyv151" TargetMode="External" /><Relationship Type="http://schemas.openxmlformats.org/officeDocument/2006/relationships/hyperlink" Id="rId65" Target="https://doi.org/10.1093/ije/dyw341" TargetMode="External" /><Relationship Type="http://schemas.openxmlformats.org/officeDocument/2006/relationships/hyperlink" Id="rId63" Target="https://doi.org/10.1136/bmjopen-2017-021311" TargetMode="External" /><Relationship Type="http://schemas.openxmlformats.org/officeDocument/2006/relationships/hyperlink" Id="rId49" Target="https://doi.org/10.1289/ehp.1307204" TargetMode="External" /><Relationship Type="http://schemas.openxmlformats.org/officeDocument/2006/relationships/hyperlink" Id="rId77" Target="https://doi.org/10.1371/journal.pmed.1001792" TargetMode="External" /><Relationship Type="http://schemas.openxmlformats.org/officeDocument/2006/relationships/hyperlink" Id="rId92" Target="https://doi.org/10.18637/jss.v011.i10" TargetMode="External" /><Relationship Type="http://schemas.openxmlformats.org/officeDocument/2006/relationships/hyperlink" Id="rId79" Target="https://doi.org/10.18637/jss.v074.i07" TargetMode="External" /><Relationship Type="http://schemas.openxmlformats.org/officeDocument/2006/relationships/hyperlink" Id="rId94" Target="https://doi.org/10.18637/jss.v095.i01" TargetMode="External" /><Relationship Type="http://schemas.openxmlformats.org/officeDocument/2006/relationships/hyperlink" Id="rId81" Target="https://doi.org/10.21105/joss.03139" TargetMode="External" /><Relationship Type="http://schemas.openxmlformats.org/officeDocument/2006/relationships/hyperlink" Id="rId88" Target="https://doi.org/10.2139/ssrn.3605606" TargetMode="External" /><Relationship Type="http://schemas.openxmlformats.org/officeDocument/2006/relationships/hyperlink" Id="rId57" Target="https://doi.org/10.3390/ijerph6031282" TargetMode="External" /><Relationship Type="http://schemas.openxmlformats.org/officeDocument/2006/relationships/hyperlink" Id="rId67" Target="https://github.com/r-causal/ggdag" TargetMode="External" /><Relationship Type="http://schemas.openxmlformats.org/officeDocument/2006/relationships/hyperlink" Id="rId90"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S1474-4422(13)70278-3" TargetMode="External" /><Relationship Type="http://schemas.openxmlformats.org/officeDocument/2006/relationships/hyperlink" Id="rId71" Target="https://doi.org/10.1016/j.aca.2013.12.030" TargetMode="External" /><Relationship Type="http://schemas.openxmlformats.org/officeDocument/2006/relationships/hyperlink" Id="rId73" Target="https://doi.org/10.1016/j.chroma.2020.461179" TargetMode="External" /><Relationship Type="http://schemas.openxmlformats.org/officeDocument/2006/relationships/hyperlink" Id="rId96" Target="https://doi.org/10.1016/j.envint.2018.09.046" TargetMode="External" /><Relationship Type="http://schemas.openxmlformats.org/officeDocument/2006/relationships/hyperlink" Id="rId69" Target="https://doi.org/10.1016/j.envint.2018.09.056" TargetMode="External" /><Relationship Type="http://schemas.openxmlformats.org/officeDocument/2006/relationships/hyperlink" Id="rId45" Target="https://doi.org/10.1016/j.envres.2021.111890" TargetMode="External" /><Relationship Type="http://schemas.openxmlformats.org/officeDocument/2006/relationships/hyperlink" Id="rId75" Target="https://doi.org/10.1016/j.neuropsychologia.2003.12.012" TargetMode="External" /><Relationship Type="http://schemas.openxmlformats.org/officeDocument/2006/relationships/hyperlink" Id="rId47" Target="https://doi.org/10.1038/nrendo.2016.186" TargetMode="External" /><Relationship Type="http://schemas.openxmlformats.org/officeDocument/2006/relationships/hyperlink" Id="rId85" Target="https://doi.org/10.1080/01621459.2023.2213485" TargetMode="External" /><Relationship Type="http://schemas.openxmlformats.org/officeDocument/2006/relationships/hyperlink" Id="rId61" Target="https://doi.org/10.1093/aje/kwp211" TargetMode="External" /><Relationship Type="http://schemas.openxmlformats.org/officeDocument/2006/relationships/hyperlink" Id="rId59" Target="https://doi.org/10.1093/ije/dyl170" TargetMode="External" /><Relationship Type="http://schemas.openxmlformats.org/officeDocument/2006/relationships/hyperlink" Id="rId55" Target="https://doi.org/10.1093/ije/dyr054" TargetMode="External" /><Relationship Type="http://schemas.openxmlformats.org/officeDocument/2006/relationships/hyperlink" Id="rId51" Target="https://doi.org/10.1093/ije/dys112" TargetMode="External" /><Relationship Type="http://schemas.openxmlformats.org/officeDocument/2006/relationships/hyperlink" Id="rId53" Target="https://doi.org/10.1093/ije/dyv151" TargetMode="External" /><Relationship Type="http://schemas.openxmlformats.org/officeDocument/2006/relationships/hyperlink" Id="rId65" Target="https://doi.org/10.1093/ije/dyw341" TargetMode="External" /><Relationship Type="http://schemas.openxmlformats.org/officeDocument/2006/relationships/hyperlink" Id="rId63" Target="https://doi.org/10.1136/bmjopen-2017-021311" TargetMode="External" /><Relationship Type="http://schemas.openxmlformats.org/officeDocument/2006/relationships/hyperlink" Id="rId49" Target="https://doi.org/10.1289/ehp.1307204" TargetMode="External" /><Relationship Type="http://schemas.openxmlformats.org/officeDocument/2006/relationships/hyperlink" Id="rId77" Target="https://doi.org/10.1371/journal.pmed.1001792" TargetMode="External" /><Relationship Type="http://schemas.openxmlformats.org/officeDocument/2006/relationships/hyperlink" Id="rId92" Target="https://doi.org/10.18637/jss.v011.i10" TargetMode="External" /><Relationship Type="http://schemas.openxmlformats.org/officeDocument/2006/relationships/hyperlink" Id="rId79" Target="https://doi.org/10.18637/jss.v074.i07" TargetMode="External" /><Relationship Type="http://schemas.openxmlformats.org/officeDocument/2006/relationships/hyperlink" Id="rId94" Target="https://doi.org/10.18637/jss.v095.i01" TargetMode="External" /><Relationship Type="http://schemas.openxmlformats.org/officeDocument/2006/relationships/hyperlink" Id="rId81" Target="https://doi.org/10.21105/joss.03139" TargetMode="External" /><Relationship Type="http://schemas.openxmlformats.org/officeDocument/2006/relationships/hyperlink" Id="rId88" Target="https://doi.org/10.2139/ssrn.3605606" TargetMode="External" /><Relationship Type="http://schemas.openxmlformats.org/officeDocument/2006/relationships/hyperlink" Id="rId57" Target="https://doi.org/10.3390/ijerph6031282" TargetMode="External" /><Relationship Type="http://schemas.openxmlformats.org/officeDocument/2006/relationships/hyperlink" Id="rId67" Target="https://github.com/r-causal/ggdag" TargetMode="External" /><Relationship Type="http://schemas.openxmlformats.org/officeDocument/2006/relationships/hyperlink" Id="rId90"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2023-12-21T11:20:26Z</dcterms:created>
  <dcterms:modified xsi:type="dcterms:W3CDTF">2023-12-21T11:20:26Z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