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6.png" ContentType="image/png"/>
  <Override PartName="/word/media/rId191.png" ContentType="image/png"/>
  <Override PartName="/word/media/rId146.png" ContentType="image/png"/>
  <Override PartName="/word/media/rId197.png" ContentType="image/png"/>
  <Override PartName="/word/media/rId150.png" ContentType="image/png"/>
  <Override PartName="/word/media/rId201.png" ContentType="image/png"/>
  <Override PartName="/word/media/rId154.png" ContentType="image/png"/>
  <Override PartName="/word/media/rId20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hyperlink w:anchor="ref-GrandjeanLandrigan:2014">
        <w:r>
          <w:rPr>
            <w:rStyle w:val="InternetLink"/>
            <w:vertAlign w:val="superscript"/>
          </w:rPr>
          <w:t xml:space="preserve">1</w:t>
        </w:r>
      </w:hyperlink>
      <w:r>
        <w:t xml:space="preserve">, and multiple environmental pollutants play a role in the increased rates of these disorders</w:t>
      </w:r>
      <w:hyperlink w:anchor="Xd81cf38a3b251ec377f8aa13b097ea9d0c190e3">
        <w:r>
          <w:rPr>
            <w:rStyle w:val="InternetLink"/>
            <w:vertAlign w:val="superscript"/>
          </w:rPr>
          <w:t xml:space="preserve">2</w:t>
        </w:r>
      </w:hyperlink>
      <w:r>
        <w:t xml:space="preserve">. endocrine disruptors (EDCs), chemicals that are capable of interfering with the endocrine system, have been shown to have a role in childhood neurodevelopment and behavior</w:t>
      </w:r>
      <w:hyperlink w:anchor="ref-BouchardBellingerWright:2010">
        <w:r>
          <w:rPr>
            <w:rStyle w:val="InternetLink"/>
            <w:vertAlign w:val="superscript"/>
          </w:rPr>
          <w:t xml:space="preserve">3</w:t>
        </w:r>
      </w:hyperlink>
      <w:r>
        <w:rPr>
          <w:vertAlign w:val="superscript"/>
        </w:rPr>
        <w:t xml:space="preserve">–</w:t>
      </w:r>
      <w:hyperlink w:anchor="ref-VilmandBeckBilenberg:2023">
        <w:r>
          <w:rPr>
            <w:rStyle w:val="InternetLink"/>
            <w:vertAlign w:val="superscript"/>
          </w:rPr>
          <w:t xml:space="preserve">17</w:t>
        </w:r>
      </w:hyperlink>
      <w:r>
        <w:t xml:space="preserve">. Although both pregnancy and early childhood are crucial stages of (neuro)development, most of the available literature is focused on the effects of prenatal exposure to EDCs on child neurodevelopment</w:t>
      </w:r>
      <w:hyperlink w:anchor="Xd81cf38a3b251ec377f8aa13b097ea9d0c190e3">
        <w:r>
          <w:rPr>
            <w:rStyle w:val="InternetLink"/>
            <w:vertAlign w:val="superscript"/>
          </w:rPr>
          <w:t xml:space="preserve">2</w:t>
        </w:r>
      </w:hyperlink>
      <w:r>
        <w:t xml:space="preserve">. Moreover, little is known about the biological mechanisms of action</w:t>
      </w:r>
      <w:hyperlink w:anchor="Xd81cf38a3b251ec377f8aa13b097ea9d0c190e3">
        <w:r>
          <w:rPr>
            <w:rStyle w:val="InternetLink"/>
            <w:vertAlign w:val="superscript"/>
          </w:rPr>
          <w:t xml:space="preserve">2</w:t>
        </w:r>
      </w:hyperlink>
      <w:r>
        <w:t xml:space="preserve">.</w:t>
      </w:r>
    </w:p>
    <w:p>
      <w:pPr>
        <w:pStyle w:val="TextBody"/>
      </w:pPr>
      <w:r>
        <w:t xml:space="preserve">organophosphate pesticides (OP pesticides) might have a deleterious effect on neurodevelopment, although the few studies conducted on children and using a biological matrix for exposure assessment suffered from a series of limitations, including a small sample size and few organophosphate pesticide (OP pesticide) metabolites measured</w:t>
      </w:r>
      <w:hyperlink w:anchor="Xd81cf38a3b251ec377f8aa13b097ea9d0c190e3">
        <w:r>
          <w:rPr>
            <w:rStyle w:val="InternetLink"/>
            <w:vertAlign w:val="superscript"/>
          </w:rPr>
          <w:t xml:space="preserve">2</w:t>
        </w:r>
      </w:hyperlink>
      <w:r>
        <w:t xml:space="preserve">. Phthalates and their metabolites have been associated to several adverse effects on neurodevelopment</w:t>
      </w:r>
      <w:hyperlink w:anchor="Xd81cf38a3b251ec377f8aa13b097ea9d0c190e3">
        <w:r>
          <w:rPr>
            <w:rStyle w:val="InternetLink"/>
            <w:vertAlign w:val="superscript"/>
          </w:rPr>
          <w:t xml:space="preserve">2</w:t>
        </w:r>
      </w:hyperlink>
      <w:r>
        <w:t xml:space="preserve">. Similarly, these studies focused on few phthalates metabolites and were conducted in small populations. On the other hand, the effects of exposure to bisphenol A (BPA) on cognitive functions are still unclear</w:t>
      </w:r>
      <w:hyperlink w:anchor="Xd81cf38a3b251ec377f8aa13b097ea9d0c190e3">
        <w:r>
          <w:rPr>
            <w:rStyle w:val="InternetLink"/>
            <w:vertAlign w:val="superscript"/>
          </w:rPr>
          <w:t xml:space="preserve">2</w:t>
        </w:r>
      </w:hyperlink>
      <w:r>
        <w:t xml:space="preserve">.</w:t>
      </w:r>
    </w:p>
    <w:p>
      <w:pPr>
        <w:pStyle w:val="TextBody"/>
      </w:pPr>
      <w:r>
        <w:t xml:space="preserve">There is also evidence that exposure to certain EDCs, specifically phthalates, might interfere with the hypothalamic-pituitary-adrenocortical (HPA) axis and might interact with the glucocorticoid receptor</w:t>
      </w:r>
      <w:hyperlink w:anchor="ref-KimLeeMoon:2018">
        <w:r>
          <w:rPr>
            <w:rStyle w:val="InternetLink"/>
            <w:vertAlign w:val="superscript"/>
          </w:rPr>
          <w:t xml:space="preserve">18</w:t>
        </w:r>
      </w:hyperlink>
      <w:r>
        <w:rPr>
          <w:vertAlign w:val="superscript"/>
        </w:rPr>
        <w:t xml:space="preserve">–</w:t>
      </w:r>
      <w:hyperlink w:anchor="ref-SearsLiuLanphear:2023">
        <w:r>
          <w:rPr>
            <w:rStyle w:val="InternetLink"/>
            <w:vertAlign w:val="superscript"/>
          </w:rPr>
          <w:t xml:space="preserve">20</w:t>
        </w:r>
      </w:hyperlink>
      <w:r>
        <w:t xml:space="preserve">.</w:t>
      </w:r>
    </w:p>
    <w:p>
      <w:pPr>
        <w:pStyle w:val="TextBody"/>
      </w:pPr>
      <w:r>
        <w:t xml:space="preserve">The HPA axis, which can be activated by stress, is responsible for the production of glucocorticosteroids. The brain, and its proper functioning, is a potential target, due to the presence of receptors for these hormones</w:t>
      </w:r>
      <w:hyperlink w:anchor="ref-SunLiJin:2018">
        <w:r>
          <w:rPr>
            <w:rStyle w:val="InternetLink"/>
            <w:vertAlign w:val="superscript"/>
          </w:rPr>
          <w:t xml:space="preserve">19</w:t>
        </w:r>
      </w:hyperlink>
      <w:r>
        <w:rPr>
          <w:vertAlign w:val="superscript"/>
        </w:rPr>
        <w:t xml:space="preserve">,</w:t>
      </w:r>
      <w:hyperlink w:anchor="ref-LupienMcEwenGunnar:2009">
        <w:r>
          <w:rPr>
            <w:rStyle w:val="InternetLink"/>
            <w:vertAlign w:val="superscript"/>
          </w:rPr>
          <w:t xml:space="preserve">21</w:t>
        </w:r>
      </w:hyperlink>
      <w:r>
        <w:t xml:space="preserve">. Glucocorticosteroids are necessary for brain maturation, although their under- or over-production might interfere with its normal development and ultimately lead to long-term impaired functioning</w:t>
      </w:r>
      <w:hyperlink w:anchor="ref-SearsLiuLanphear:2023">
        <w:r>
          <w:rPr>
            <w:rStyle w:val="InternetLink"/>
            <w:vertAlign w:val="superscript"/>
          </w:rPr>
          <w:t xml:space="preserve">20</w:t>
        </w:r>
      </w:hyperlink>
      <w:r>
        <w:rPr>
          <w:vertAlign w:val="superscript"/>
        </w:rPr>
        <w:t xml:space="preserve">,</w:t>
      </w:r>
      <w:hyperlink w:anchor="ref-LupienMcEwenGunnar:2009">
        <w:r>
          <w:rPr>
            <w:rStyle w:val="InternetLink"/>
            <w:vertAlign w:val="superscript"/>
          </w:rPr>
          <w:t xml:space="preserve">21</w:t>
        </w:r>
      </w:hyperlink>
      <w:r>
        <w:t xml:space="preserve">.</w:t>
      </w:r>
    </w:p>
    <w:p>
      <w:pPr>
        <w:pStyle w:val="TextBody"/>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associations between 1) non-persistent EDCs and attention, 2) non-persistent EDCs and glucocorticosteroids, and 3) glucocorticosteroids and attention, using the parametric g-formula and marginal contrasts, in children of a large prospective birth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22</w:t>
        </w:r>
      </w:hyperlink>
      <w:r>
        <w:t xml:space="preserve">. It consists of six existing population-based birth cohort studies across Europe: BiB (Born in Bradford, UK)</w:t>
      </w:r>
      <w:hyperlink w:anchor="ref-WrightSmallRaynor:2013">
        <w:r>
          <w:rPr>
            <w:rStyle w:val="InternetLink"/>
            <w:vertAlign w:val="superscript"/>
          </w:rPr>
          <w:t xml:space="preserve">23</w:t>
        </w:r>
      </w:hyperlink>
      <w:r>
        <w:t xml:space="preserve">, EDEN (Study of determinants of pre- and postnatal developmental, France)</w:t>
      </w:r>
      <w:hyperlink w:anchor="ref-HeudeForhanSlama:2016">
        <w:r>
          <w:rPr>
            <w:rStyle w:val="InternetLink"/>
            <w:vertAlign w:val="superscript"/>
          </w:rPr>
          <w:t xml:space="preserve">24</w:t>
        </w:r>
      </w:hyperlink>
      <w:r>
        <w:t xml:space="preserve">, INMA (Environment and Childhood, Spain)</w:t>
      </w:r>
      <w:hyperlink w:anchor="ref-GuxensBallesterEspada:2012">
        <w:r>
          <w:rPr>
            <w:rStyle w:val="InternetLink"/>
            <w:vertAlign w:val="superscript"/>
          </w:rPr>
          <w:t xml:space="preserve">25</w:t>
        </w:r>
      </w:hyperlink>
      <w:r>
        <w:t xml:space="preserve">, KANC (Kaunas Cohort, Lithuania)</w:t>
      </w:r>
      <w:hyperlink w:anchor="Xd30c40380c9e99bac70b7fa3b0ada5ae8dec3e4">
        <w:r>
          <w:rPr>
            <w:rStyle w:val="InternetLink"/>
            <w:vertAlign w:val="superscript"/>
          </w:rPr>
          <w:t xml:space="preserve">26</w:t>
        </w:r>
      </w:hyperlink>
      <w:r>
        <w:t xml:space="preserve">, MoBa (The Norwegian Mother and Child Cohort Study, Norway)</w:t>
      </w:r>
      <w:hyperlink w:anchor="ref-MagnusIrgensHaug:2006">
        <w:r>
          <w:rPr>
            <w:rStyle w:val="InternetLink"/>
            <w:vertAlign w:val="superscript"/>
          </w:rPr>
          <w:t xml:space="preserve">27</w:t>
        </w:r>
      </w:hyperlink>
      <w:r>
        <w:t xml:space="preserve">, and Rhea (Mother–Child Cohort in Crete, Greece)</w:t>
      </w:r>
      <w:hyperlink w:anchor="ref-ChatziPlanaDaraki:2009">
        <w:r>
          <w:rPr>
            <w:rStyle w:val="InternetLink"/>
            <w:vertAlign w:val="superscript"/>
          </w:rPr>
          <w:t xml:space="preserve">28</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29</w:t>
        </w:r>
      </w:hyperlink>
      <w:r>
        <w:t xml:space="preserve">.</w:t>
      </w:r>
    </w:p>
    <w:p>
      <w:pPr>
        <w:pStyle w:val="TextBody"/>
      </w:pPr>
      <w:r>
        <w:t xml:space="preserve">Ethical permission was obtained from the relevant authorities in the corresponding country.</w:t>
      </w:r>
    </w:p>
    <w:bookmarkEnd w:id="21"/>
    <w:bookmarkStart w:id="26" w:name="sec-vars"/>
    <w:p>
      <w:pPr>
        <w:pStyle w:val="Heading2"/>
      </w:pPr>
      <w:r>
        <w:t xml:space="preserve">Variables</w:t>
      </w:r>
    </w:p>
    <w:bookmarkStart w:id="22"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hyperlink w:anchor="ref-TextorvanderZanderGilthorpe:2016">
        <w:r>
          <w:rPr>
            <w:rStyle w:val="InternetLink"/>
            <w:vertAlign w:val="superscript"/>
          </w:rPr>
          <w:t xml:space="preserve">30</w:t>
        </w:r>
      </w:hyperlink>
      <w:r>
        <w:t xml:space="preserve"> </w:t>
      </w:r>
      <w:r>
        <w:t xml:space="preserve">and ggdag</w:t>
      </w:r>
      <w:hyperlink w:anchor="ref-Barrett:2023">
        <w:r>
          <w:rPr>
            <w:rStyle w:val="InternetLink"/>
            <w:vertAlign w:val="superscript"/>
          </w:rPr>
          <w:t xml:space="preserve">31</w:t>
        </w:r>
      </w:hyperlink>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2"/>
        </w:numPr>
        <w:pStyle w:val="Compact"/>
      </w:pPr>
      <w:r>
        <w:t xml:space="preserve">For RQ1 I used creatinine values from HELIX. For RQ3 the ones from the steroids dataset. For RQ2, I included in the model both variables.</w:t>
      </w:r>
    </w:p>
    <w:bookmarkEnd w:id="22"/>
    <w:bookmarkStart w:id="23"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EDCs assessed in urine samples from children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InternetLink"/>
          </w:rPr>
          <w:t xml:space="preserve">Table S4</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hyperlink w:anchor="ref-HaugSakhiCequier:2018">
        <w:r>
          <w:rPr>
            <w:rStyle w:val="InternetLink"/>
            <w:vertAlign w:val="superscript"/>
          </w:rPr>
          <w:t xml:space="preserve">32</w:t>
        </w:r>
      </w:hyperlink>
      <w:r>
        <w:t xml:space="preserve">.</w:t>
      </w:r>
    </w:p>
    <w:bookmarkEnd w:id="23"/>
    <w:bookmarkStart w:id="24"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InternetLink"/>
          </w:rPr>
          <w:t xml:space="preserve">Table S5</w:t>
        </w:r>
      </w:hyperlink>
      <w:r>
        <w:t xml:space="preserve">.</w:t>
      </w:r>
    </w:p>
    <w:p>
      <w:pPr>
        <w:pStyle w:val="TextBody"/>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 xml:space="preserve">33</w:t>
        </w:r>
      </w:hyperlink>
      <w:r>
        <w:rPr>
          <w:vertAlign w:val="superscript"/>
        </w:rPr>
        <w:t xml:space="preserve">,</w:t>
      </w:r>
      <w:hyperlink w:anchor="ref-Gomez-GomezPozo:2020">
        <w:r>
          <w:rPr>
            <w:rStyle w:val="InternetLink"/>
            <w:vertAlign w:val="superscript"/>
          </w:rPr>
          <w:t xml:space="preserve">34</w:t>
        </w:r>
      </w:hyperlink>
      <w:r>
        <w:t xml:space="preserve">. Of the 1,004 urine samples, 980 children were matched to the HELIX subcohort.</w:t>
      </w:r>
    </w:p>
    <w:p>
      <w:pPr>
        <w:pStyle w:val="TextBody"/>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4"/>
    <w:bookmarkStart w:id="25"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hyperlink w:anchor="ref-RuedaFanMcCandliss:2004">
        <w:r>
          <w:rPr>
            <w:rStyle w:val="InternetLink"/>
            <w:vertAlign w:val="superscript"/>
          </w:rPr>
          <w:t xml:space="preserve">35</w:t>
        </w:r>
      </w:hyperlink>
      <w:r>
        <w:t xml:space="preserve">. Further information can be found in</w:t>
      </w:r>
      <w:hyperlink w:anchor="ref-MaitreBontCasas:2018">
        <w:r>
          <w:rPr>
            <w:rStyle w:val="InternetLink"/>
            <w:vertAlign w:val="superscript"/>
          </w:rPr>
          <w:t xml:space="preserve">29</w:t>
        </w:r>
      </w:hyperlink>
      <w:r>
        <w:t xml:space="preserve">. Briefly, it is a computerized test that provides a measure of efficiency in three different functions of attention: alerting, orienting, and executive attention. The outcome of interest for the present study is the hit reaction time standard error (HRT-SE)</w:t>
      </w:r>
      <w:hyperlink w:anchor="ref-SunyerEsnaolaAlvarez-Pedrerol:2015">
        <w:r>
          <w:rPr>
            <w:rStyle w:val="InternetLink"/>
            <w:vertAlign w:val="superscript"/>
          </w:rPr>
          <w:t xml:space="preserve">36</w:t>
        </w:r>
      </w:hyperlink>
      <w:r>
        <w:t xml:space="preserve">, a measure of response speed consistency throughout the test. A high HRT-SE indicates highly variable reactions, and is considered a measure of inattentiveness.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glucocorticosteroids is provided in</w:t>
      </w:r>
      <w:r>
        <w:t xml:space="preserve"> </w:t>
      </w:r>
      <w:hyperlink w:anchor="supptbl-lloq-mets">
        <w:r>
          <w:rPr>
            <w:rStyle w:val="Internet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InternetLink"/>
            <w:vertAlign w:val="superscript"/>
          </w:rPr>
          <w:t xml:space="preserve">37</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InternetLink"/>
            <w:vertAlign w:val="superscript"/>
          </w:rPr>
          <w:t xml:space="preserve">38</w:t>
        </w:r>
      </w:hyperlink>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InternetLink"/>
            <w:vertAlign w:val="superscript"/>
          </w:rPr>
          <w:t xml:space="preserve">39</w:t>
        </w:r>
      </w:hyperlink>
      <w:r>
        <w:t xml:space="preserve">. Information about the lower limits of detection can be found in</w:t>
      </w:r>
      <w:hyperlink w:anchor="ref-HaugSakhiCequier:2018">
        <w:r>
          <w:rPr>
            <w:rStyle w:val="InternetLink"/>
            <w:vertAlign w:val="superscript"/>
          </w:rPr>
          <w:t xml:space="preserve">32</w:t>
        </w:r>
      </w:hyperlink>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Similarly, we natural log-transformed them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InternetLink"/>
            <w:vertAlign w:val="superscript"/>
          </w:rPr>
          <w:t xml:space="preserve">40</w:t>
        </w:r>
      </w:hyperlink>
      <w:r>
        <w:t xml:space="preserve">. This methods estimates weights by minimizing an energy statistic related to covariate balance</w:t>
      </w:r>
      <w:hyperlink w:anchor="ref-HulingGreiferChen:2023">
        <w:r>
          <w:rPr>
            <w:rStyle w:val="InternetLink"/>
            <w:vertAlign w:val="superscript"/>
          </w:rPr>
          <w:t xml:space="preserve">41</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InternetLink"/>
            <w:vertAlign w:val="superscript"/>
          </w:rPr>
          <w:t xml:space="preserve">42</w:t>
        </w:r>
      </w:hyperlink>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marginal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hyperlink w:anchor="ref-BartlettPartnoy:2020">
        <w:r>
          <w:rPr>
            <w:rStyle w:val="InternetLink"/>
            <w:vertAlign w:val="superscript"/>
          </w:rPr>
          <w:t xml:space="preserve">43</w:t>
        </w:r>
      </w:hyperlink>
      <w:r>
        <w:t xml:space="preserve">.</w:t>
      </w:r>
    </w:p>
    <w:p>
      <w:pPr>
        <w:pStyle w:val="TextBody"/>
      </w:pPr>
      <w:r>
        <w:t xml:space="preserve">To estimate the marginal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InternetLink"/>
            <w:vertAlign w:val="superscript"/>
          </w:rPr>
          <w:t xml:space="preserve">44</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marginal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InternetLink"/>
            <w:vertAlign w:val="superscript"/>
          </w:rPr>
          <w:t xml:space="preserve">45</w:t>
        </w:r>
      </w:hyperlink>
      <w:r>
        <w:rPr>
          <w:vertAlign w:val="superscript"/>
        </w:rPr>
        <w:t xml:space="preserve">,</w:t>
      </w:r>
      <w:hyperlink w:anchor="ref-ZeileisKollGraham:2020">
        <w:r>
          <w:rPr>
            <w:rStyle w:val="InternetLink"/>
            <w:vertAlign w:val="superscript"/>
          </w:rPr>
          <w:t xml:space="preserve">46</w:t>
        </w:r>
      </w:hyperlink>
      <w:r>
        <w:t xml:space="preserve">.</w:t>
      </w:r>
      <w:r>
        <w:t xml:space="preserve"> </w:t>
      </w:r>
      <w:r>
        <w:t xml:space="preserve">For each outcome, we report the results as differences between marginal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marginal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marginal contrasts were aggregated separately for each level of sex. We further tested for significance of the difference between the marginal contrasts of males and females.</w:t>
      </w:r>
    </w:p>
    <w:bookmarkEnd w:id="30"/>
    <w:bookmarkEnd w:id="31"/>
    <w:bookmarkEnd w:id="32"/>
    <w:bookmarkStart w:id="39" w:name="sec-res"/>
    <w:p>
      <w:pPr>
        <w:pStyle w:val="Heading1"/>
      </w:pPr>
      <w:r>
        <w:t xml:space="preserve">Results</w:t>
      </w:r>
    </w:p>
    <w:bookmarkStart w:id="33" w:name="sec-res-participants"/>
    <w:p>
      <w:pPr>
        <w:pStyle w:val="Heading2"/>
      </w:pPr>
      <w:r>
        <w:t xml:space="preserve">Participants</w:t>
      </w:r>
    </w:p>
    <w:p>
      <w:pPr>
        <w:pStyle w:val="FirstParagraph"/>
      </w:pPr>
      <w:r>
        <w:t xml:space="preserve">In total, 1,297 children were included in the dataset. Of these, 976 had information also about the glucocorticosteroids. The sample consisted of 55% girls. The median HRT-SE was 300 ms (interquartile range (IQR), 231-368), with lower median values for EDEN, MOBA, and SAB, corresponding to the cohorts with older children. At the time of visit, the median age of the children was 8.06 years. The children were mostly Caucasian (90%) or Pakistani (6.2%).</w:t>
      </w:r>
      <w:r>
        <w:t xml:space="preserve"> </w:t>
      </w:r>
      <w:hyperlink w:anchor="tbl-pop-desc">
        <w:r>
          <w:rPr>
            <w:rStyle w:val="InternetLink"/>
          </w:rPr>
          <w:t xml:space="preserve">Table 1</w:t>
        </w:r>
      </w:hyperlink>
      <w:r>
        <w:t xml:space="preserve"> </w:t>
      </w:r>
      <w:r>
        <w:t xml:space="preserve">provides descriptive statistics for the outcome and covariates, by cohort and overall. Codebooks for the used covariates, by research question, are provided in</w:t>
      </w:r>
      <w:r>
        <w:t xml:space="preserve"> </w:t>
      </w:r>
      <w:hyperlink w:anchor="supptbl-codebook-1">
        <w:r>
          <w:rPr>
            <w:rStyle w:val="InternetLink"/>
          </w:rPr>
          <w:t xml:space="preserve">Table S1</w:t>
        </w:r>
      </w:hyperlink>
      <w:r>
        <w:t xml:space="preserve">,</w:t>
      </w:r>
      <w:r>
        <w:t xml:space="preserve"> </w:t>
      </w:r>
      <w:hyperlink w:anchor="supptbl-codebook-2">
        <w:r>
          <w:rPr>
            <w:rStyle w:val="InternetLink"/>
          </w:rPr>
          <w:t xml:space="preserve">Table S2</w:t>
        </w:r>
      </w:hyperlink>
      <w:r>
        <w:t xml:space="preserve">, and</w:t>
      </w:r>
      <w:r>
        <w:t xml:space="preserve"> </w:t>
      </w:r>
      <w:hyperlink w:anchor="supptbl-codebook-3">
        <w:r>
          <w:rPr>
            <w:rStyle w:val="InternetLink"/>
          </w:rPr>
          <w:t xml:space="preserve">Table S3</w:t>
        </w:r>
      </w:hyperlink>
      <w:r>
        <w:t xml:space="preserve">.</w:t>
      </w:r>
    </w:p>
    <w:bookmarkEnd w:id="33"/>
    <w:bookmarkStart w:id="34" w:name="sec-res-pop-desc"/>
    <w:p>
      <w:pPr>
        <w:pStyle w:val="Heading2"/>
      </w:pPr>
      <w:r>
        <w:t xml:space="preserve">Descriptive data</w:t>
      </w:r>
    </w:p>
    <w:p>
      <w:pPr>
        <w:pStyle w:val="FirstParagraph"/>
      </w:pPr>
      <w:r>
        <w:t xml:space="preserve">Levels of unprocessed non-persistent EDCs and glucocorticosteroids, by cohort and overall, are presented in</w:t>
      </w:r>
      <w:r>
        <w:t xml:space="preserve"> </w:t>
      </w:r>
      <w:hyperlink w:anchor="tbl-edc-desc">
        <w:r>
          <w:rPr>
            <w:rStyle w:val="InternetLink"/>
          </w:rPr>
          <w:t xml:space="preserve">Table 2</w:t>
        </w:r>
      </w:hyperlink>
      <w:r>
        <w:t xml:space="preserve"> </w:t>
      </w:r>
      <w:r>
        <w:t xml:space="preserve">and</w:t>
      </w:r>
      <w:r>
        <w:t xml:space="preserve"> </w:t>
      </w:r>
      <w:hyperlink w:anchor="tbl-met-desc">
        <w:r>
          <w:rPr>
            <w:rStyle w:val="InternetLink"/>
          </w:rPr>
          <w:t xml:space="preserve">Table 3</w:t>
        </w:r>
      </w:hyperlink>
      <w:r>
        <w:t xml:space="preserve">, respectively.</w:t>
      </w:r>
    </w:p>
    <w:bookmarkEnd w:id="34"/>
    <w:bookmarkStart w:id="35" w:name="sec-res-main"/>
    <w:p>
      <w:pPr>
        <w:pStyle w:val="Heading2"/>
      </w:pPr>
      <w:r>
        <w:t xml:space="preserve">Main results</w:t>
      </w:r>
    </w:p>
    <w:p>
      <w:pPr>
        <w:pStyle w:val="FirstParagraph"/>
      </w:pPr>
      <w:r>
        <w:t xml:space="preserve">The effective sample sizes before and after balancing weights estimation are presented in Tables</w:t>
      </w:r>
      <w:r>
        <w:t xml:space="preserve"> </w:t>
      </w:r>
      <w:hyperlink w:anchor="supptbl-balance-1">
        <w:r>
          <w:rPr>
            <w:rStyle w:val="InternetLink"/>
          </w:rPr>
          <w:t xml:space="preserve">7</w:t>
        </w:r>
      </w:hyperlink>
      <w:r>
        <w:t xml:space="preserve">, </w:t>
      </w:r>
      <w:hyperlink w:anchor="supptbl-balance-2">
        <w:r>
          <w:rPr>
            <w:rStyle w:val="InternetLink"/>
          </w:rPr>
          <w:t xml:space="preserve">8</w:t>
        </w:r>
      </w:hyperlink>
      <w:r>
        <w:t xml:space="preserve">, </w:t>
      </w:r>
      <w:hyperlink w:anchor="supptbl-balance-3">
        <w:r>
          <w:rPr>
            <w:rStyle w:val="InternetLink"/>
          </w:rPr>
          <w:t xml:space="preserve">9</w:t>
        </w:r>
      </w:hyperlink>
      <w:r>
        <w:t xml:space="preserve">, while basic summary statistics of the estimated balancing weights are presented in Tables</w:t>
      </w:r>
      <w:r>
        <w:t xml:space="preserve"> </w:t>
      </w:r>
      <w:hyperlink w:anchor="supptbl-weights-1">
        <w:r>
          <w:rPr>
            <w:rStyle w:val="InternetLink"/>
          </w:rPr>
          <w:t xml:space="preserve">10</w:t>
        </w:r>
      </w:hyperlink>
      <w:r>
        <w:t xml:space="preserve">, </w:t>
      </w:r>
      <w:hyperlink w:anchor="supptbl-weights-2">
        <w:r>
          <w:rPr>
            <w:rStyle w:val="InternetLink"/>
          </w:rPr>
          <w:t xml:space="preserve">11</w:t>
        </w:r>
      </w:hyperlink>
      <w:r>
        <w:t xml:space="preserve">, </w:t>
      </w:r>
      <w:hyperlink w:anchor="supptbl-weights-3">
        <w:r>
          <w:rPr>
            <w:rStyle w:val="InternetLink"/>
          </w:rPr>
          <w:t xml:space="preserve">12</w:t>
        </w:r>
      </w:hyperlink>
      <w:r>
        <w:t xml:space="preserve">. As expected, the median value of the weights for each exposure was close to</w:t>
      </w:r>
      <w:r>
        <w:t xml:space="preserve"> </w:t>
      </w:r>
      <m:oMath>
        <m:r>
          <m:t>1.00</m:t>
        </m:r>
      </m:oMath>
      <w:r>
        <w:t xml:space="preserve">.</w:t>
      </w:r>
    </w:p>
    <w:p>
      <w:pPr>
        <w:pStyle w:val="TextBody"/>
      </w:pPr>
      <w:hyperlink w:anchor="fig-marginal-1">
        <w:r>
          <w:rPr>
            <w:rStyle w:val="InternetLink"/>
          </w:rPr>
          <w:t xml:space="preserve">Figure 1</w:t>
        </w:r>
      </w:hyperlink>
      <w:r>
        <w:t xml:space="preserve"> </w:t>
      </w:r>
      <w:r>
        <w:t xml:space="preserve">presents the forest plot for the marginal contrasts of the non-persistent EDCs on HRT-SE. Overall, a cohort-specific increase in the levels of the exposures from the 10th to the 90th percentiles was associated with a positive marginal contrast, indicating an increase in the values of HRT-SE. Most of the confidence interval (CI)s included the null effect, though. Statistically significant effects were observed for the phenol MEPA (marginal contrast (MC) and</w:t>
      </w:r>
      <w:r>
        <w:t xml:space="preserve"> </w:t>
      </w:r>
      <m:oMath>
        <m:r>
          <m:t>95</m:t>
        </m:r>
        <m:r>
          <m:rPr>
            <m:sty m:val="p"/>
          </m:rPr>
          <m:t>%</m:t>
        </m:r>
      </m:oMath>
      <w:r>
        <w:t xml:space="preserve"> </w:t>
      </w:r>
      <w:r>
        <w:t xml:space="preserve">CI: 0.042 (0.013, 0.071)), and the phthalate metabolites oxo-MiNP (MC and</w:t>
      </w:r>
      <w:r>
        <w:t xml:space="preserve"> </w:t>
      </w:r>
      <m:oMath>
        <m:r>
          <m:t>95</m:t>
        </m:r>
        <m:r>
          <m:rPr>
            <m:sty m:val="p"/>
          </m:rPr>
          <m:t>%</m:t>
        </m:r>
      </m:oMath>
      <w:r>
        <w:t xml:space="preserve"> </w:t>
      </w:r>
      <w:r>
        <w:t xml:space="preserve">CI: 0.023 (0.003, 0.044)), oh-MiNP (MC and</w:t>
      </w:r>
      <w:r>
        <w:t xml:space="preserve"> </w:t>
      </w:r>
      <m:oMath>
        <m:r>
          <m:t>95</m:t>
        </m:r>
        <m:r>
          <m:rPr>
            <m:sty m:val="p"/>
          </m:rPr>
          <m:t>%</m:t>
        </m:r>
      </m:oMath>
      <w:r>
        <w:t xml:space="preserve"> </w:t>
      </w:r>
      <w:r>
        <w:t xml:space="preserve">CI: 0.039 (0.001, 0.076)), and MEHP (MC and</w:t>
      </w:r>
      <w:r>
        <w:t xml:space="preserve"> </w:t>
      </w:r>
      <m:oMath>
        <m:r>
          <m:t>95</m:t>
        </m:r>
        <m:r>
          <m:rPr>
            <m:sty m:val="p"/>
          </m:rPr>
          <m:t>%</m:t>
        </m:r>
      </m:oMath>
      <w:r>
        <w:t xml:space="preserve"> </w:t>
      </w:r>
      <w:r>
        <w:t xml:space="preserve">CI: 0.036 (0.008, 0.063)). The OP pesticide DETP was strongly negatively associated with HRT-SE (MC and</w:t>
      </w:r>
      <w:r>
        <w:t xml:space="preserve"> </w:t>
      </w:r>
      <m:oMath>
        <m:r>
          <m:t>95</m:t>
        </m:r>
        <m:r>
          <m:rPr>
            <m:sty m:val="p"/>
          </m:rPr>
          <m:t>%</m:t>
        </m:r>
      </m:oMath>
      <w:r>
        <w:t xml:space="preserve"> </w:t>
      </w:r>
      <w:r>
        <w:t xml:space="preserve">CI: -0.026 (-0.054, 0.001)).</w:t>
      </w:r>
    </w:p>
    <w:p>
      <w:pPr>
        <w:pStyle w:val="TextBody"/>
      </w:pPr>
      <w:hyperlink w:anchor="fig-marginal-2">
        <w:r>
          <w:rPr>
            <w:rStyle w:val="InternetLink"/>
          </w:rPr>
          <w:t xml:space="preserve">Figure 2</w:t>
        </w:r>
      </w:hyperlink>
      <w:r>
        <w:t xml:space="preserve"> </w:t>
      </w:r>
      <w:r>
        <w:t xml:space="preserve">presents the forest plot for the marginal contrasts of the non-persistent EDCs on cortisone production, cortisol production, and corticosterone production. Overall, a cohort-specific increase in the levels of the exposures from the 10th to the 90th percentiles was associated with a positive marginal contrast, indicating an increase in the total production of these metabolites, with the exception of BUPA, which was associated with negative marginal contrasts for all three outcomes, and MiBP, which was associated with a negative marginal contrast for total cortisone production only.</w:t>
      </w:r>
      <w:r>
        <w:t xml:space="preserve"> </w:t>
      </w:r>
      <w:r>
        <w:t xml:space="preserve">The majority of the effects for the phenols and phthalate metabolites included the null. The phenol BPA showed the largest marginal contrasts across all three outcomes (cortisone production, MC and</w:t>
      </w:r>
      <w:r>
        <w:t xml:space="preserve"> </w:t>
      </w:r>
      <m:oMath>
        <m:r>
          <m:t>95</m:t>
        </m:r>
        <m:r>
          <m:rPr>
            <m:sty m:val="p"/>
          </m:rPr>
          <m:t>%</m:t>
        </m:r>
      </m:oMath>
      <w:r>
        <w:t xml:space="preserve"> </w:t>
      </w:r>
      <w:r>
        <w:t xml:space="preserve">CI: 0.264 (0.131, 0.397); cortisol production, ; corticosterone production, ).</w:t>
      </w:r>
    </w:p>
    <w:p>
      <w:pPr>
        <w:pStyle w:val="TextBody"/>
      </w:pPr>
      <w:hyperlink w:anchor="fig-marginal-3">
        <w:r>
          <w:rPr>
            <w:rStyle w:val="InternetLink"/>
          </w:rPr>
          <w:t xml:space="preserve">Figure 3</w:t>
        </w:r>
      </w:hyperlink>
      <w:r>
        <w:t xml:space="preserve"> </w:t>
      </w:r>
      <w:r>
        <w:t xml:space="preserve">presents the forest plot for the marginal contrasts of the glucocorticosteroids on HRT-SE. All marginal contrasts included the null, with no clear indication of directionality of the effect.</w:t>
      </w:r>
    </w:p>
    <w:bookmarkEnd w:id="35"/>
    <w:bookmarkStart w:id="38" w:name="sec-res-other"/>
    <w:p>
      <w:pPr>
        <w:pStyle w:val="Heading2"/>
      </w:pPr>
      <w:r>
        <w:t xml:space="preserve">Other analyses</w:t>
      </w:r>
    </w:p>
    <w:bookmarkStart w:id="36" w:name="effect-modification-by-sex"/>
    <w:p>
      <w:pPr>
        <w:pStyle w:val="Heading3"/>
      </w:pPr>
      <w:r>
        <w:t xml:space="preserve">Effect modification by sex</w:t>
      </w:r>
    </w:p>
    <w:p>
      <w:pPr>
        <w:pStyle w:val="FirstParagraph"/>
      </w:pPr>
      <w:r>
        <w:t xml:space="preserve">Basic summary statistics of the estimated balancing weights for effect modification are presented in Tables</w:t>
      </w:r>
      <w:r>
        <w:t xml:space="preserve"> </w:t>
      </w:r>
      <w:hyperlink w:anchor="supptbl-weights-1sa">
        <w:r>
          <w:rPr>
            <w:rStyle w:val="InternetLink"/>
          </w:rPr>
          <w:t xml:space="preserve">13</w:t>
        </w:r>
      </w:hyperlink>
      <w:r>
        <w:t xml:space="preserve">, </w:t>
      </w:r>
      <w:hyperlink w:anchor="supptbl-weights-2sa">
        <w:r>
          <w:rPr>
            <w:rStyle w:val="InternetLink"/>
          </w:rPr>
          <w:t xml:space="preserve">14</w:t>
        </w:r>
      </w:hyperlink>
      <w:r>
        <w:t xml:space="preserve">, </w:t>
      </w:r>
      <w:hyperlink w:anchor="supptbl-weights-3sa">
        <w:r>
          <w:rPr>
            <w:rStyle w:val="InternetLink"/>
          </w:rPr>
          <w:t xml:space="preserve">15</w:t>
        </w:r>
      </w:hyperlink>
      <w:r>
        <w:t xml:space="preserve">. As expected, the median value of the weights for each exposure was close to</w:t>
      </w:r>
      <w:r>
        <w:t xml:space="preserve"> </w:t>
      </w:r>
      <m:oMath>
        <m:r>
          <m:t>1.00</m:t>
        </m:r>
      </m:oMath>
      <w:r>
        <w:t xml:space="preserve">.</w:t>
      </w:r>
    </w:p>
    <w:p>
      <w:pPr>
        <w:pStyle w:val="TextBody"/>
      </w:pPr>
      <w:hyperlink w:anchor="tbl-hypothesis-1">
        <w:r>
          <w:rPr>
            <w:rStyle w:val="InternetLink"/>
          </w:rPr>
          <w:t xml:space="preserve">Table 4</w:t>
        </w:r>
      </w:hyperlink>
      <w:r>
        <w:t xml:space="preserve"> </w:t>
      </w:r>
      <w:r>
        <w:t xml:space="preserve">presents the results of a hypothesis test for the difference between estimates of the marginal contrasts for females and males, for each exposure. Significant differences were present for the phenol OXBE (MC and</w:t>
      </w:r>
      <w:r>
        <w:t xml:space="preserve"> </w:t>
      </w:r>
      <m:oMath>
        <m:r>
          <m:t>95</m:t>
        </m:r>
        <m:r>
          <m:rPr>
            <m:sty m:val="p"/>
          </m:rPr>
          <m:t>%</m:t>
        </m:r>
      </m:oMath>
      <w:r>
        <w:t xml:space="preserve"> </w:t>
      </w:r>
      <w:r>
        <w:t xml:space="preserve">CI: -0.032 (-0.059, -0.004)) and the phthalate metabolites MEP (MC and</w:t>
      </w:r>
      <w:r>
        <w:t xml:space="preserve"> </w:t>
      </w:r>
      <m:oMath>
        <m:r>
          <m:t>95</m:t>
        </m:r>
        <m:r>
          <m:rPr>
            <m:sty m:val="p"/>
          </m:rPr>
          <m:t>%</m:t>
        </m:r>
      </m:oMath>
      <w:r>
        <w:t xml:space="preserve"> </w:t>
      </w:r>
      <w:r>
        <w:t xml:space="preserve">CI: 0.092 (0.017, 0.167)) and MbZP (MC and</w:t>
      </w:r>
      <w:r>
        <w:t xml:space="preserve"> </w:t>
      </w:r>
      <m:oMath>
        <m:r>
          <m:t>95</m:t>
        </m:r>
        <m:r>
          <m:rPr>
            <m:sty m:val="p"/>
          </m:rPr>
          <m:t>%</m:t>
        </m:r>
      </m:oMath>
      <w:r>
        <w:t xml:space="preserve"> </w:t>
      </w:r>
      <w:r>
        <w:t xml:space="preserve">CI: 0.063 (0.002, 0.124)). The forest plot of the individual marginal contrasts is presented in</w:t>
      </w:r>
      <w:r>
        <w:t xml:space="preserve"> </w:t>
      </w:r>
      <w:hyperlink w:anchor="suppfig-marginal-1sa">
        <w:r>
          <w:rPr>
            <w:rStyle w:val="InternetLink"/>
          </w:rPr>
          <w:t xml:space="preserve">Figure S3</w:t>
        </w:r>
      </w:hyperlink>
      <w:r>
        <w:t xml:space="preserve">.</w:t>
      </w:r>
    </w:p>
    <w:p>
      <w:pPr>
        <w:pStyle w:val="TextBody"/>
      </w:pPr>
      <w:hyperlink w:anchor="tbl-hypothesis-2">
        <w:r>
          <w:rPr>
            <w:rStyle w:val="InternetLink"/>
          </w:rPr>
          <w:t xml:space="preserve">Table 5</w:t>
        </w:r>
      </w:hyperlink>
      <w:r>
        <w:t xml:space="preserve"> </w:t>
      </w:r>
      <w:r>
        <w:t xml:space="preserve">presents the results of a hypothesis test for the difference between estimates of the marginal contrasts for females and males, for each exposure and outcome. Significant differences were present across all three classes of EDCs and for all outcomes. The largest differences were attributable to the OP pesticides DMTP (cortisol production, MC and</w:t>
      </w:r>
      <w:r>
        <w:t xml:space="preserve"> </w:t>
      </w:r>
      <m:oMath>
        <m:r>
          <m:t>95</m:t>
        </m:r>
        <m:r>
          <m:rPr>
            <m:sty m:val="p"/>
          </m:rPr>
          <m:t>%</m:t>
        </m:r>
      </m:oMath>
      <w:r>
        <w:t xml:space="preserve"> </w:t>
      </w:r>
      <w:r>
        <w:t xml:space="preserve">CI: 0.211 (0.088, 0.333)) and DETP (corticosterone production, (MC and</w:t>
      </w:r>
      <w:r>
        <w:t xml:space="preserve"> </w:t>
      </w:r>
      <m:oMath>
        <m:r>
          <m:t>95</m:t>
        </m:r>
        <m:r>
          <m:rPr>
            <m:sty m:val="p"/>
          </m:rPr>
          <m:t>%</m:t>
        </m:r>
      </m:oMath>
      <w:r>
        <w:t xml:space="preserve"> </w:t>
      </w:r>
      <w:r>
        <w:t xml:space="preserve">CI: 0.233 (0.033, 0.433)); cortisone production, (MC and</w:t>
      </w:r>
      <w:r>
        <w:t xml:space="preserve"> </w:t>
      </w:r>
      <m:oMath>
        <m:r>
          <m:t>95</m:t>
        </m:r>
        <m:r>
          <m:rPr>
            <m:sty m:val="p"/>
          </m:rPr>
          <m:t>%</m:t>
        </m:r>
      </m:oMath>
      <w:r>
        <w:t xml:space="preserve"> </w:t>
      </w:r>
      <w:r>
        <w:t xml:space="preserve">CI: 0.214 (0.048, 0.381))). The forest plots of the individual marginal contrasts are presented in</w:t>
      </w:r>
      <w:r>
        <w:t xml:space="preserve"> </w:t>
      </w:r>
      <w:hyperlink w:anchor="suppfig-marginal-2sa">
        <w:r>
          <w:rPr>
            <w:rStyle w:val="InternetLink"/>
          </w:rPr>
          <w:t xml:space="preserve">Figure S4</w:t>
        </w:r>
      </w:hyperlink>
      <w:r>
        <w:t xml:space="preserve">.</w:t>
      </w:r>
    </w:p>
    <w:p>
      <w:pPr>
        <w:pStyle w:val="TextBody"/>
      </w:pPr>
      <w:hyperlink w:anchor="tbl-hypothesis-3">
        <w:r>
          <w:rPr>
            <w:rStyle w:val="InternetLink"/>
          </w:rPr>
          <w:t xml:space="preserve">Table 6</w:t>
        </w:r>
      </w:hyperlink>
      <w:r>
        <w:t xml:space="preserve"> </w:t>
      </w:r>
      <w:r>
        <w:t xml:space="preserve">presents the results of a hypothesis test for the difference between estimates of the marginal contrasts for females and males, for each exposure. Significant differences were present for cortisone production (MC and</w:t>
      </w:r>
      <w:r>
        <w:t xml:space="preserve"> </w:t>
      </w:r>
      <m:oMath>
        <m:r>
          <m:t>95</m:t>
        </m:r>
        <m:r>
          <m:rPr>
            <m:sty m:val="p"/>
          </m:rPr>
          <m:t>%</m:t>
        </m:r>
      </m:oMath>
      <w:r>
        <w:t xml:space="preserve"> </w:t>
      </w:r>
      <w:r>
        <w:t xml:space="preserve">CI: -0.135 (-0.241, -0.028)) and corticosterone production (MC and</w:t>
      </w:r>
      <w:r>
        <w:t xml:space="preserve"> </w:t>
      </w:r>
      <m:oMath>
        <m:r>
          <m:t>95</m:t>
        </m:r>
        <m:r>
          <m:rPr>
            <m:sty m:val="p"/>
          </m:rPr>
          <m:t>%</m:t>
        </m:r>
      </m:oMath>
      <w:r>
        <w:t xml:space="preserve"> </w:t>
      </w:r>
      <w:r>
        <w:t xml:space="preserve">CI: -0.13 (-0.253, -0.006)). Furthermore, for all exposures, the marginal contrasts had opposite sign (positive for males and negative for females). The forest plot of the individual marginal contrasts is presented in</w:t>
      </w:r>
      <w:r>
        <w:t xml:space="preserve"> </w:t>
      </w:r>
      <w:hyperlink w:anchor="suppfig-marginal-3sa">
        <w:r>
          <w:rPr>
            <w:rStyle w:val="InternetLink"/>
          </w:rPr>
          <w:t xml:space="preserve">Figure S5</w:t>
        </w:r>
      </w:hyperlink>
      <w:r>
        <w:t xml:space="preserve">.</w:t>
      </w:r>
    </w:p>
    <w:bookmarkEnd w:id="36"/>
    <w:bookmarkStart w:id="37" w:name="sensitivity-to-exposure-assessment"/>
    <w:p>
      <w:pPr>
        <w:pStyle w:val="Heading3"/>
      </w:pPr>
      <w:r>
        <w:t xml:space="preserve">Sensitivity to exposure assessment</w:t>
      </w:r>
    </w:p>
    <w:bookmarkEnd w:id="37"/>
    <w:bookmarkEnd w:id="38"/>
    <w:bookmarkEnd w:id="39"/>
    <w:bookmarkStart w:id="40" w:name="sec-discussion"/>
    <w:p>
      <w:pPr>
        <w:pStyle w:val="Heading1"/>
      </w:pPr>
      <w:r>
        <w:t xml:space="preserve">Discussion</w:t>
      </w:r>
    </w:p>
    <w:p>
      <w:pPr>
        <w:pStyle w:val="FirstParagraph"/>
      </w:pPr>
      <w:r>
        <w:t xml:space="preserve">The impact of exposure to (non-persistent) EDCs on human health has attracted considerable research interest. While research in this area has mainly investigated the effects of prenatal exposure on child neurodevelopment</w:t>
      </w:r>
      <w:hyperlink w:anchor="Xd81cf38a3b251ec377f8aa13b097ea9d0c190e3">
        <w:r>
          <w:rPr>
            <w:rStyle w:val="InternetLink"/>
            <w:vertAlign w:val="superscript"/>
          </w:rPr>
          <w:t xml:space="preserve">2</w:t>
        </w:r>
      </w:hyperlink>
      <w:r>
        <w:t xml:space="preserve">, little is still known about later-in-life exposure and childhood neurodevelopment. In this study, consisting of almost 1,000 children from 6 European birth cohorts, we observed that short-term childhood exposure to non-persistent EDCs had negative effects on HRT-SE and total production of cortisol, cortisone, and corticosterone, with the majority of the CIs including the null effect. Increased production of these glucocorticosteroids did not seem to affect HRT-SE. Some of these effects differed for females and males, including significant differences for the effects of increased production of cortisone and corticosterone on HRT-SE. Specifically, an increased production of these glucocorticosteroids was associated with lower values of HRT-SE for females, and higher values for males. Taken together, these results suggest that these non-persistent EDCs might be responsible for perturbations of the HPA axis’ homeostasis, and that higher levels of these glucocorticosteroids might interfere with different functions of attention in a sex-specific manner.</w:t>
      </w:r>
    </w:p>
    <w:p>
      <w:pPr>
        <w:pStyle w:val="TextBody"/>
      </w:pPr>
      <w:r>
        <w:t xml:space="preserve">Our results are consistent with prior research that associated exposure to certain EDCs with higher levels of urinary and hair cortisol</w:t>
      </w:r>
      <w:hyperlink w:anchor="ref-KimLeeMoon:2018">
        <w:r>
          <w:rPr>
            <w:rStyle w:val="InternetLink"/>
            <w:vertAlign w:val="superscript"/>
          </w:rPr>
          <w:t xml:space="preserve">18</w:t>
        </w:r>
      </w:hyperlink>
      <w:r>
        <w:rPr>
          <w:vertAlign w:val="superscript"/>
        </w:rPr>
        <w:t xml:space="preserve">,</w:t>
      </w:r>
      <w:hyperlink w:anchor="ref-SearsLiuLanphear:2023">
        <w:r>
          <w:rPr>
            <w:rStyle w:val="InternetLink"/>
            <w:vertAlign w:val="superscript"/>
          </w:rPr>
          <w:t xml:space="preserve">20</w:t>
        </w:r>
      </w:hyperlink>
      <w:r>
        <w:t xml:space="preserve">. Contrary to these prior studies, we did find effect modification by sex. We are not aware of other epidemiological studies investigating phthalates metabolites, phenols, and OP pesticides, in relation to urinary glucocorticosteroids in childhood.</w:t>
      </w:r>
      <w:r>
        <w:t xml:space="preserve"> </w:t>
      </w:r>
      <w:r>
        <w:t xml:space="preserve">We are also not aware of prior studies specifically investigating the effects of exposure to EDCs and elevated levels of glucocorticosteroids in relation to HRT-SE.</w:t>
      </w:r>
    </w:p>
    <w:p>
      <w:pPr>
        <w:pStyle w:val="TextBody"/>
      </w:pPr>
      <w:r>
        <w:t xml:space="preserve">[] EDCs to HITRTSE</w:t>
      </w:r>
      <w:r>
        <w:t xml:space="preserve"> </w:t>
      </w:r>
      <w:r>
        <w:t xml:space="preserve">[X] EDCs to CORT.</w:t>
      </w:r>
      <w:r>
        <w:t xml:space="preserve"> </w:t>
      </w:r>
      <w:r>
        <w:t xml:space="preserve">[] CORT. to HITRTSE</w:t>
      </w:r>
    </w:p>
    <w:p>
      <w:r>
        <w:pict>
          <v:rect style="width:0;height:1.5pt" o:hralign="center" o:hrstd="t" o:hr="t"/>
        </w:pict>
      </w:r>
    </w:p>
    <w:p>
      <w:pPr>
        <w:pStyle w:val="FirstParagraph"/>
      </w:pPr>
      <w:r>
        <w:t xml:space="preserve">These findings should be interpreted in light of the following limitations and strengths.</w:t>
      </w:r>
    </w:p>
    <w:p>
      <w:pPr>
        <w:pStyle w:val="TextBody"/>
      </w:pPr>
      <w:r>
        <w:t xml:space="preserve">Limitations include the cross-sectional design of the present study. Importantly, the non-persistent EDCs were measured in a pool of night and morning urine samples before the clinical visit, whereas the glucocorticosteroids were measured in the night urine sample only.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TextBody"/>
      </w:pPr>
      <w:r>
        <w:t xml:space="preserve">Strengths of the present study include the use of pooled urine samples for chemical assessment, since it is known that these specific EDCs have very short half-lives</w:t>
      </w:r>
      <w:hyperlink w:anchor="ref-CasasBasaganaSakhi:2018">
        <w:r>
          <w:rPr>
            <w:rStyle w:val="InternetLink"/>
            <w:vertAlign w:val="superscript"/>
          </w:rPr>
          <w:t xml:space="preserve">47</w:t>
        </w:r>
      </w:hyperlink>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marginal contrasts.</w:t>
      </w:r>
    </w:p>
    <w:p>
      <w:pPr>
        <w:pStyle w:val="TextBody"/>
      </w:pPr>
      <w:r>
        <w:t xml:space="preserve">In conclusion, in a study of…</w:t>
      </w:r>
    </w:p>
    <w:p>
      <w:r>
        <w:br w:type="page"/>
      </w:r>
    </w:p>
    <w:bookmarkEnd w:id="40"/>
    <w:bookmarkStart w:id="133" w:name="references"/>
    <w:p>
      <w:pPr>
        <w:pStyle w:val="Heading1"/>
      </w:pPr>
      <w:r>
        <w:t xml:space="preserve">References</w:t>
      </w:r>
    </w:p>
    <w:bookmarkStart w:id="132" w:name="refs"/>
    <w:bookmarkStart w:id="42"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Cs/>
          <w:i/>
        </w:rPr>
        <w:t xml:space="preserve">Lancet Neurol</w:t>
      </w:r>
      <w:r>
        <w:t xml:space="preserve">. 2014;13(3):330-338. doi:</w:t>
      </w:r>
      <w:hyperlink r:id="rId41">
        <w:r>
          <w:rPr>
            <w:rStyle w:val="InternetLink"/>
          </w:rPr>
          <w:t xml:space="preserve">10.1016/S1474-4422(13)70278-3</w:t>
        </w:r>
      </w:hyperlink>
    </w:p>
    <w:bookmarkEnd w:id="42"/>
    <w:bookmarkStart w:id="44"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Cs/>
          <w:i/>
        </w:rPr>
        <w:t xml:space="preserve">Environmental Research</w:t>
      </w:r>
      <w:r>
        <w:t xml:space="preserve">. 2022;203:111890. doi:</w:t>
      </w:r>
      <w:hyperlink r:id="rId43">
        <w:r>
          <w:rPr>
            <w:rStyle w:val="InternetLink"/>
          </w:rPr>
          <w:t xml:space="preserve">10.1016/j.envres.2021.111890</w:t>
        </w:r>
      </w:hyperlink>
    </w:p>
    <w:bookmarkEnd w:id="44"/>
    <w:bookmarkStart w:id="46" w:name="ref-BouchardBellingerWright:2010"/>
    <w:p>
      <w:pPr>
        <w:pStyle w:val="Bibliography"/>
      </w:pPr>
      <w:r>
        <w:t xml:space="preserve">3.</w:t>
      </w:r>
      <w:r>
        <w:t xml:space="preserve"> </w:t>
      </w:r>
      <w:r>
        <w:t xml:space="preserve">	</w:t>
      </w:r>
      <w:r>
        <w:t xml:space="preserve">Bouchard MF, Bellinger DC, Wright RO, Weisskopf MG.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Cs/>
          <w:i/>
        </w:rPr>
        <w:t xml:space="preserve">Pediatrics</w:t>
      </w:r>
      <w:r>
        <w:t xml:space="preserve">. 2010;125(6):e1270-e1277. doi:</w:t>
      </w:r>
      <w:hyperlink r:id="rId45">
        <w:r>
          <w:rPr>
            <w:rStyle w:val="InternetLink"/>
          </w:rPr>
          <w:t xml:space="preserve">10.1542/peds.2009-3058</w:t>
        </w:r>
      </w:hyperlink>
    </w:p>
    <w:bookmarkEnd w:id="46"/>
    <w:bookmarkStart w:id="48"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Cs/>
          <w:i/>
        </w:rPr>
        <w:t xml:space="preserve">Environment International</w:t>
      </w:r>
      <w:r>
        <w:t xml:space="preserve">. 2015;85:229-237. doi:</w:t>
      </w:r>
      <w:hyperlink r:id="rId47">
        <w:r>
          <w:rPr>
            <w:rStyle w:val="InternetLink"/>
          </w:rPr>
          <w:t xml:space="preserve">10.1016/j.envint.2015.09.019</w:t>
        </w:r>
      </w:hyperlink>
    </w:p>
    <w:bookmarkEnd w:id="48"/>
    <w:bookmarkStart w:id="50"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Cs/>
          <w:i/>
        </w:rPr>
        <w:t xml:space="preserve">PLOS ONE</w:t>
      </w:r>
      <w:r>
        <w:t xml:space="preserve">. 2015;10(6):e0131910. doi:</w:t>
      </w:r>
      <w:hyperlink r:id="rId49">
        <w:r>
          <w:rPr>
            <w:rStyle w:val="InternetLink"/>
          </w:rPr>
          <w:t xml:space="preserve">10.1371/journal.pone.0131910</w:t>
        </w:r>
      </w:hyperlink>
    </w:p>
    <w:bookmarkEnd w:id="50"/>
    <w:bookmarkStart w:id="52"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Cs/>
          <w:i/>
        </w:rPr>
        <w:t xml:space="preserve">Environmental Health Perspectives</w:t>
      </w:r>
      <w:r>
        <w:t xml:space="preserve">. 2016;124(5):674-680. doi:</w:t>
      </w:r>
      <w:hyperlink r:id="rId51">
        <w:r>
          <w:rPr>
            <w:rStyle w:val="InternetLink"/>
          </w:rPr>
          <w:t xml:space="preserve">10.1289/ehp.1409472</w:t>
        </w:r>
      </w:hyperlink>
    </w:p>
    <w:bookmarkEnd w:id="52"/>
    <w:bookmarkStart w:id="54"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Cs/>
          <w:i/>
        </w:rPr>
        <w:t xml:space="preserve">Environmental Research</w:t>
      </w:r>
      <w:r>
        <w:t xml:space="preserve">. 2016;150:112-118. doi:</w:t>
      </w:r>
      <w:hyperlink r:id="rId53">
        <w:r>
          <w:rPr>
            <w:rStyle w:val="InternetLink"/>
          </w:rPr>
          <w:t xml:space="preserve">10.1016/j.envres.2016.05.040</w:t>
        </w:r>
      </w:hyperlink>
    </w:p>
    <w:bookmarkEnd w:id="54"/>
    <w:bookmarkStart w:id="56"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Cs/>
          <w:i/>
        </w:rPr>
        <w:t xml:space="preserve">Andrology</w:t>
      </w:r>
      <w:r>
        <w:t xml:space="preserve">. 2016;4(4):695-705. doi:</w:t>
      </w:r>
      <w:hyperlink r:id="rId55">
        <w:r>
          <w:rPr>
            <w:rStyle w:val="InternetLink"/>
          </w:rPr>
          <w:t xml:space="preserve">10.1111/andr.12183</w:t>
        </w:r>
      </w:hyperlink>
    </w:p>
    <w:bookmarkEnd w:id="56"/>
    <w:bookmarkStart w:id="58"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Cs/>
          <w:i/>
        </w:rPr>
        <w:t xml:space="preserve">Environmental Research</w:t>
      </w:r>
      <w:r>
        <w:t xml:space="preserve">. 2017;156:158-166. doi:</w:t>
      </w:r>
      <w:hyperlink r:id="rId57">
        <w:r>
          <w:rPr>
            <w:rStyle w:val="InternetLink"/>
          </w:rPr>
          <w:t xml:space="preserve">10.1016/j.envres.2017.03.016</w:t>
        </w:r>
      </w:hyperlink>
    </w:p>
    <w:bookmarkEnd w:id="58"/>
    <w:bookmarkStart w:id="60" w:name="ref-KimHongShin:2017"/>
    <w:p>
      <w:pPr>
        <w:pStyle w:val="Bibliography"/>
      </w:pPr>
      <w:r>
        <w:t xml:space="preserve">10.</w:t>
      </w:r>
      <w:r>
        <w:t xml:space="preserve"> </w:t>
      </w:r>
      <w:r>
        <w:t xml:space="preserve">	</w:t>
      </w:r>
      <w:r>
        <w:t xml:space="preserve">Kim JI, Hong YC, Shin CH, Lee YA, Lim YH, Kim BN. The effects of maternal and children phthalate exposure on the neurocognitive function of 6-year-old children.</w:t>
      </w:r>
      <w:r>
        <w:t xml:space="preserve"> </w:t>
      </w:r>
      <w:r>
        <w:rPr>
          <w:iCs/>
          <w:i/>
        </w:rPr>
        <w:t xml:space="preserve">Environmental Research</w:t>
      </w:r>
      <w:r>
        <w:t xml:space="preserve">. 2017;156:519-525. doi:</w:t>
      </w:r>
      <w:hyperlink r:id="rId59">
        <w:r>
          <w:rPr>
            <w:rStyle w:val="InternetLink"/>
          </w:rPr>
          <w:t xml:space="preserve">10.1016/j.envres.2017.04.003</w:t>
        </w:r>
      </w:hyperlink>
    </w:p>
    <w:bookmarkEnd w:id="60"/>
    <w:bookmarkStart w:id="62"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Cs/>
          <w:i/>
        </w:rPr>
        <w:t xml:space="preserve">Environmental Research</w:t>
      </w:r>
      <w:r>
        <w:t xml:space="preserve">. 2017;158:737-747. doi:</w:t>
      </w:r>
      <w:hyperlink r:id="rId61">
        <w:r>
          <w:rPr>
            <w:rStyle w:val="InternetLink"/>
          </w:rPr>
          <w:t xml:space="preserve">10.1016/j.envres.2017.07.023</w:t>
        </w:r>
      </w:hyperlink>
    </w:p>
    <w:bookmarkEnd w:id="62"/>
    <w:bookmarkStart w:id="64"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2017;13(3, 3):161-173. doi:</w:t>
      </w:r>
      <w:hyperlink r:id="rId63">
        <w:r>
          <w:rPr>
            <w:rStyle w:val="InternetLink"/>
          </w:rPr>
          <w:t xml:space="preserve">10.1038/nrendo.2016.186</w:t>
        </w:r>
      </w:hyperlink>
    </w:p>
    <w:bookmarkEnd w:id="64"/>
    <w:bookmarkStart w:id="66"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Cs/>
          <w:i/>
        </w:rPr>
        <w:t xml:space="preserve">Environmental Pollution</w:t>
      </w:r>
      <w:r>
        <w:t xml:space="preserve">. 2018;235:141-149. doi:</w:t>
      </w:r>
      <w:hyperlink r:id="rId65">
        <w:r>
          <w:rPr>
            <w:rStyle w:val="InternetLink"/>
          </w:rPr>
          <w:t xml:space="preserve">10.1016/j.envpol.2017.12.056</w:t>
        </w:r>
      </w:hyperlink>
    </w:p>
    <w:bookmarkEnd w:id="66"/>
    <w:bookmarkStart w:id="68"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Cs/>
          <w:i/>
        </w:rPr>
        <w:t xml:space="preserve">NeuroToxicology</w:t>
      </w:r>
      <w:r>
        <w:t xml:space="preserve">. 2019;74:162-171. doi:</w:t>
      </w:r>
      <w:hyperlink r:id="rId67">
        <w:r>
          <w:rPr>
            <w:rStyle w:val="InternetLink"/>
          </w:rPr>
          <w:t xml:space="preserve">10.1016/j.neuro.2019.06.006</w:t>
        </w:r>
      </w:hyperlink>
    </w:p>
    <w:bookmarkEnd w:id="68"/>
    <w:bookmarkStart w:id="70"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Cs/>
          <w:i/>
        </w:rPr>
        <w:t xml:space="preserve">JAMA Network Open</w:t>
      </w:r>
      <w:r>
        <w:t xml:space="preserve">. 2020;3(8):e2015041. doi:</w:t>
      </w:r>
      <w:hyperlink r:id="rId69">
        <w:r>
          <w:rPr>
            <w:rStyle w:val="InternetLink"/>
          </w:rPr>
          <w:t xml:space="preserve">10.1001/jamanetworkopen.2020.15041</w:t>
        </w:r>
      </w:hyperlink>
    </w:p>
    <w:bookmarkEnd w:id="70"/>
    <w:bookmarkStart w:id="72" w:name="ref-OhKimKannan:2023"/>
    <w:p>
      <w:pPr>
        <w:pStyle w:val="Bibliography"/>
      </w:pPr>
      <w:r>
        <w:t xml:space="preserve">16.</w:t>
      </w:r>
      <w:r>
        <w:t xml:space="preserve"> </w:t>
      </w:r>
      <w:r>
        <w:t xml:space="preserve">	</w:t>
      </w:r>
      <w:r>
        <w:t xml:space="preserve">Oh J, Kim K, Kannan K, et al. Early childhood exposure to environmental phenols and parabens, phthalates, organophosphate pesticides, and trace elements in association with attention deficit hyperactivity disorder (</w:t>
      </w:r>
      <w:r>
        <w:t xml:space="preserve">ADHD</w:t>
      </w:r>
      <w:r>
        <w:t xml:space="preserve">) symptoms in the</w:t>
      </w:r>
      <w:r>
        <w:t xml:space="preserve"> </w:t>
      </w:r>
      <w:r>
        <w:t xml:space="preserve">CHARGE</w:t>
      </w:r>
      <w:r>
        <w:t xml:space="preserve"> </w:t>
      </w:r>
      <w:r>
        <w:t xml:space="preserve">study.</w:t>
      </w:r>
      <w:r>
        <w:t xml:space="preserve"> </w:t>
      </w:r>
      <w:r>
        <w:rPr>
          <w:iCs/>
          <w:i/>
        </w:rPr>
        <w:t xml:space="preserve">Res Sq</w:t>
      </w:r>
      <w:r>
        <w:t xml:space="preserve">. Published online February 10, 2023:rs.3.rs-2565914. doi:</w:t>
      </w:r>
      <w:hyperlink r:id="rId71">
        <w:r>
          <w:rPr>
            <w:rStyle w:val="InternetLink"/>
          </w:rPr>
          <w:t xml:space="preserve">10.21203/rs.3.rs-2565914/v1</w:t>
        </w:r>
      </w:hyperlink>
    </w:p>
    <w:bookmarkEnd w:id="72"/>
    <w:bookmarkStart w:id="74"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Cs/>
          <w:i/>
        </w:rPr>
        <w:t xml:space="preserve">Neurotoxicology and Teratology</w:t>
      </w:r>
      <w:r>
        <w:t xml:space="preserve">. 2023;96:107161. doi:</w:t>
      </w:r>
      <w:hyperlink r:id="rId73">
        <w:r>
          <w:rPr>
            <w:rStyle w:val="InternetLink"/>
          </w:rPr>
          <w:t xml:space="preserve">10.1016/j.ntt.2023.107161</w:t>
        </w:r>
      </w:hyperlink>
    </w:p>
    <w:bookmarkEnd w:id="74"/>
    <w:bookmarkStart w:id="76"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Cs/>
          <w:i/>
        </w:rPr>
        <w:t xml:space="preserve">Science of The Total Environment</w:t>
      </w:r>
      <w:r>
        <w:t xml:space="preserve">. 2018;627:506-513. doi:</w:t>
      </w:r>
      <w:hyperlink r:id="rId75">
        <w:r>
          <w:rPr>
            <w:rStyle w:val="InternetLink"/>
          </w:rPr>
          <w:t xml:space="preserve">10.1016/j.scitotenv.2018.01.125</w:t>
        </w:r>
      </w:hyperlink>
    </w:p>
    <w:bookmarkEnd w:id="76"/>
    <w:bookmarkStart w:id="78"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Cs/>
          <w:i/>
        </w:rPr>
        <w:t xml:space="preserve">Environment International</w:t>
      </w:r>
      <w:r>
        <w:t xml:space="preserve">. 2018;121:471-479. doi:</w:t>
      </w:r>
      <w:hyperlink r:id="rId77">
        <w:r>
          <w:rPr>
            <w:rStyle w:val="InternetLink"/>
          </w:rPr>
          <w:t xml:space="preserve">10.1016/j.envint.2018.09.037</w:t>
        </w:r>
      </w:hyperlink>
    </w:p>
    <w:bookmarkEnd w:id="78"/>
    <w:bookmarkStart w:id="80"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Cs/>
          <w:i/>
        </w:rPr>
        <w:t xml:space="preserve">American Journal of Epidemiology</w:t>
      </w:r>
      <w:r>
        <w:t xml:space="preserve">. Published online October 16, 2023:kwad198. doi:</w:t>
      </w:r>
      <w:hyperlink r:id="rId79">
        <w:r>
          <w:rPr>
            <w:rStyle w:val="InternetLink"/>
          </w:rPr>
          <w:t xml:space="preserve">10.1093/aje/kwad198</w:t>
        </w:r>
      </w:hyperlink>
    </w:p>
    <w:bookmarkEnd w:id="80"/>
    <w:bookmarkStart w:id="82" w:name="ref-LupienMcEwenGunnar:2009"/>
    <w:p>
      <w:pPr>
        <w:pStyle w:val="Bibliography"/>
      </w:pPr>
      <w:r>
        <w:t xml:space="preserve">21.</w:t>
      </w:r>
      <w:r>
        <w:t xml:space="preserve"> </w:t>
      </w:r>
      <w:r>
        <w:t xml:space="preserve">	</w:t>
      </w:r>
      <w:r>
        <w:t xml:space="preserve">Lupien SJ, McEwen BS, Gunnar MR, Heim C. Effects of stress throughout the lifespan on the brain, behaviour and cognition.</w:t>
      </w:r>
      <w:r>
        <w:t xml:space="preserve"> </w:t>
      </w:r>
      <w:r>
        <w:rPr>
          <w:iCs/>
          <w:i/>
        </w:rPr>
        <w:t xml:space="preserve">Nat Rev Neurosci</w:t>
      </w:r>
      <w:r>
        <w:t xml:space="preserve">. 2009;10(6, 6):434-445. doi:</w:t>
      </w:r>
      <w:hyperlink r:id="rId81">
        <w:r>
          <w:rPr>
            <w:rStyle w:val="InternetLink"/>
          </w:rPr>
          <w:t xml:space="preserve">10.1038/nrn2639</w:t>
        </w:r>
      </w:hyperlink>
    </w:p>
    <w:bookmarkEnd w:id="82"/>
    <w:bookmarkStart w:id="84" w:name="ref-VrijheidSlamaRobinson:2014"/>
    <w:p>
      <w:pPr>
        <w:pStyle w:val="Bibliography"/>
      </w:pPr>
      <w:r>
        <w:t xml:space="preserve">22.</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83">
        <w:r>
          <w:rPr>
            <w:rStyle w:val="InternetLink"/>
          </w:rPr>
          <w:t xml:space="preserve">10.1289/ehp.1307204</w:t>
        </w:r>
      </w:hyperlink>
    </w:p>
    <w:bookmarkEnd w:id="84"/>
    <w:bookmarkStart w:id="86"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85">
        <w:r>
          <w:rPr>
            <w:rStyle w:val="InternetLink"/>
          </w:rPr>
          <w:t xml:space="preserve">10.1093/ije/dys112</w:t>
        </w:r>
      </w:hyperlink>
    </w:p>
    <w:bookmarkEnd w:id="86"/>
    <w:bookmarkStart w:id="88"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87">
        <w:r>
          <w:rPr>
            <w:rStyle w:val="InternetLink"/>
          </w:rPr>
          <w:t xml:space="preserve">10.1093/ije/dyv151</w:t>
        </w:r>
      </w:hyperlink>
    </w:p>
    <w:bookmarkEnd w:id="88"/>
    <w:bookmarkStart w:id="90"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89">
        <w:r>
          <w:rPr>
            <w:rStyle w:val="InternetLink"/>
          </w:rPr>
          <w:t xml:space="preserve">10.1093/ije/dyr054</w:t>
        </w:r>
      </w:hyperlink>
    </w:p>
    <w:bookmarkEnd w:id="90"/>
    <w:bookmarkStart w:id="92" w:name="Xd30c40380c9e99bac70b7fa3b0ada5ae8dec3e4"/>
    <w:p>
      <w:pPr>
        <w:pStyle w:val="Bibliography"/>
      </w:pPr>
      <w:r>
        <w:t xml:space="preserve">26.</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91">
        <w:r>
          <w:rPr>
            <w:rStyle w:val="InternetLink"/>
          </w:rPr>
          <w:t xml:space="preserve">10.3390/ijerph6031282</w:t>
        </w:r>
      </w:hyperlink>
    </w:p>
    <w:bookmarkEnd w:id="92"/>
    <w:bookmarkStart w:id="94"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93">
        <w:r>
          <w:rPr>
            <w:rStyle w:val="InternetLink"/>
          </w:rPr>
          <w:t xml:space="preserve">10.1093/ije/dyl170</w:t>
        </w:r>
      </w:hyperlink>
    </w:p>
    <w:bookmarkEnd w:id="94"/>
    <w:bookmarkStart w:id="96"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95">
        <w:r>
          <w:rPr>
            <w:rStyle w:val="InternetLink"/>
          </w:rPr>
          <w:t xml:space="preserve">10.1093/aje/kwp211</w:t>
        </w:r>
      </w:hyperlink>
    </w:p>
    <w:bookmarkEnd w:id="96"/>
    <w:bookmarkStart w:id="98"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97">
        <w:r>
          <w:rPr>
            <w:rStyle w:val="InternetLink"/>
          </w:rPr>
          <w:t xml:space="preserve">10.1136/bmjopen-2017-021311</w:t>
        </w:r>
      </w:hyperlink>
    </w:p>
    <w:bookmarkEnd w:id="98"/>
    <w:bookmarkStart w:id="100" w:name="ref-TextorvanderZanderGilthorpe:2016"/>
    <w:p>
      <w:pPr>
        <w:pStyle w:val="Bibliography"/>
      </w:pPr>
      <w:r>
        <w:t xml:space="preserve">30.</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99">
        <w:r>
          <w:rPr>
            <w:rStyle w:val="InternetLink"/>
          </w:rPr>
          <w:t xml:space="preserve">10.1093/ije/dyw341</w:t>
        </w:r>
      </w:hyperlink>
    </w:p>
    <w:bookmarkEnd w:id="100"/>
    <w:bookmarkStart w:id="102" w:name="ref-Barrett:2023"/>
    <w:p>
      <w:pPr>
        <w:pStyle w:val="Bibliography"/>
      </w:pPr>
      <w:r>
        <w:t xml:space="preserve">31.</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101">
        <w:r>
          <w:rPr>
            <w:rStyle w:val="InternetLink"/>
          </w:rPr>
          <w:t xml:space="preserve">https://github.com/r-causal/ggdag</w:t>
        </w:r>
      </w:hyperlink>
    </w:p>
    <w:bookmarkEnd w:id="102"/>
    <w:bookmarkStart w:id="104" w:name="ref-HaugSakhiCequier:2018"/>
    <w:p>
      <w:pPr>
        <w:pStyle w:val="Bibliography"/>
      </w:pPr>
      <w:r>
        <w:t xml:space="preserve">32.</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103">
        <w:r>
          <w:rPr>
            <w:rStyle w:val="InternetLink"/>
          </w:rPr>
          <w:t xml:space="preserve">10.1016/j.envint.2018.09.056</w:t>
        </w:r>
      </w:hyperlink>
    </w:p>
    <w:bookmarkEnd w:id="104"/>
    <w:bookmarkStart w:id="106" w:name="ref-MarcosRenauCasals:2014"/>
    <w:p>
      <w:pPr>
        <w:pStyle w:val="Bibliography"/>
      </w:pPr>
      <w:r>
        <w:t xml:space="preserve">33.</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105">
        <w:r>
          <w:rPr>
            <w:rStyle w:val="InternetLink"/>
          </w:rPr>
          <w:t xml:space="preserve">10.1016/j.aca.2013.12.030</w:t>
        </w:r>
      </w:hyperlink>
    </w:p>
    <w:bookmarkEnd w:id="106"/>
    <w:bookmarkStart w:id="108" w:name="ref-Gomez-GomezPozo:2020"/>
    <w:p>
      <w:pPr>
        <w:pStyle w:val="Bibliography"/>
      </w:pPr>
      <w:r>
        <w:t xml:space="preserve">34.</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107">
        <w:r>
          <w:rPr>
            <w:rStyle w:val="InternetLink"/>
          </w:rPr>
          <w:t xml:space="preserve">10.1016/j.chroma.2020.461179</w:t>
        </w:r>
      </w:hyperlink>
    </w:p>
    <w:bookmarkEnd w:id="108"/>
    <w:bookmarkStart w:id="110" w:name="ref-RuedaFanMcCandliss:2004"/>
    <w:p>
      <w:pPr>
        <w:pStyle w:val="Bibliography"/>
      </w:pPr>
      <w:r>
        <w:t xml:space="preserve">35.</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109">
        <w:r>
          <w:rPr>
            <w:rStyle w:val="InternetLink"/>
          </w:rPr>
          <w:t xml:space="preserve">10.1016/j.neuropsychologia.2003.12.012</w:t>
        </w:r>
      </w:hyperlink>
    </w:p>
    <w:bookmarkEnd w:id="110"/>
    <w:bookmarkStart w:id="112" w:name="ref-SunyerEsnaolaAlvarez-Pedrerol:2015"/>
    <w:p>
      <w:pPr>
        <w:pStyle w:val="Bibliography"/>
      </w:pPr>
      <w:r>
        <w:t xml:space="preserve">36.</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111">
        <w:r>
          <w:rPr>
            <w:rStyle w:val="InternetLink"/>
          </w:rPr>
          <w:t xml:space="preserve">10.1371/journal.pmed.1001792</w:t>
        </w:r>
      </w:hyperlink>
    </w:p>
    <w:bookmarkEnd w:id="112"/>
    <w:bookmarkStart w:id="114"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113">
        <w:r>
          <w:rPr>
            <w:rStyle w:val="InternetLink"/>
          </w:rPr>
          <w:t xml:space="preserve">10.18637/jss.v074.i07</w:t>
        </w:r>
      </w:hyperlink>
    </w:p>
    <w:bookmarkEnd w:id="114"/>
    <w:bookmarkStart w:id="116" w:name="ref-LudeckeBen-ShacharPatil:2021"/>
    <w:p>
      <w:pPr>
        <w:pStyle w:val="Bibliography"/>
      </w:pPr>
      <w:r>
        <w:t xml:space="preserve">38.</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115">
        <w:r>
          <w:rPr>
            <w:rStyle w:val="InternetLink"/>
          </w:rPr>
          <w:t xml:space="preserve">10.21105/joss.03139</w:t>
        </w:r>
      </w:hyperlink>
    </w:p>
    <w:bookmarkEnd w:id="116"/>
    <w:bookmarkStart w:id="117"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117"/>
    <w:bookmarkStart w:id="118" w:name="ref-Greifer:2023"/>
    <w:p>
      <w:pPr>
        <w:pStyle w:val="Bibliography"/>
      </w:pPr>
      <w:r>
        <w:t xml:space="preserve">40.</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118"/>
    <w:bookmarkStart w:id="120"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119">
        <w:r>
          <w:rPr>
            <w:rStyle w:val="InternetLink"/>
          </w:rPr>
          <w:t xml:space="preserve">10.1080/01621459.2023.2213485</w:t>
        </w:r>
      </w:hyperlink>
    </w:p>
    <w:bookmarkEnd w:id="120"/>
    <w:bookmarkStart w:id="121" w:name="ref-Greifer:2023a"/>
    <w:p>
      <w:pPr>
        <w:pStyle w:val="Bibliography"/>
      </w:pPr>
      <w:r>
        <w:t xml:space="preserve">42.</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121"/>
    <w:bookmarkStart w:id="123" w:name="ref-BartlettPartnoy:2020"/>
    <w:p>
      <w:pPr>
        <w:pStyle w:val="Bibliography"/>
      </w:pPr>
      <w:r>
        <w:t xml:space="preserve">43.</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Published online 2020. doi:</w:t>
      </w:r>
      <w:hyperlink r:id="rId122">
        <w:r>
          <w:rPr>
            <w:rStyle w:val="InternetLink"/>
          </w:rPr>
          <w:t xml:space="preserve">10.2139/ssrn.3605606</w:t>
        </w:r>
      </w:hyperlink>
    </w:p>
    <w:bookmarkEnd w:id="123"/>
    <w:bookmarkStart w:id="125" w:name="ref-Arel-Bundock:2023"/>
    <w:p>
      <w:pPr>
        <w:pStyle w:val="Bibliography"/>
      </w:pPr>
      <w:r>
        <w:t xml:space="preserve">44.</w:t>
      </w:r>
      <w:r>
        <w:t xml:space="preserve"> </w:t>
      </w:r>
      <w:r>
        <w:t xml:space="preserve">	</w:t>
      </w:r>
      <w:r>
        <w:t xml:space="preserve">Arel-Bundock V.</w:t>
      </w:r>
      <w:r>
        <w:t xml:space="preserve"> </w:t>
      </w:r>
      <w:r>
        <w:rPr>
          <w:iCs/>
          <w:i/>
        </w:rPr>
        <w:t xml:space="preserve">Marginaleffects:</w:t>
      </w:r>
      <w:r>
        <w:rPr>
          <w:iCs/>
          <w:i/>
        </w:rPr>
        <w:t xml:space="preserve"> </w:t>
      </w:r>
      <w:r>
        <w:rPr>
          <w:iCs/>
          <w:i/>
        </w:rPr>
        <w:t xml:space="preserve">Predictions</w:t>
      </w:r>
      <w:r>
        <w:rPr>
          <w:iCs/>
          <w:i/>
        </w:rPr>
        <w:t xml:space="preserve">, Comparisons, Slopes, Marginal Means, and Hypothesis Tests</w:t>
      </w:r>
      <w:r>
        <w:t xml:space="preserve">.; 2023.</w:t>
      </w:r>
      <w:r>
        <w:t xml:space="preserve"> </w:t>
      </w:r>
      <w:hyperlink r:id="rId124">
        <w:r>
          <w:rPr>
            <w:rStyle w:val="InternetLink"/>
          </w:rPr>
          <w:t xml:space="preserve">https://marginaleffects.com/</w:t>
        </w:r>
      </w:hyperlink>
    </w:p>
    <w:bookmarkEnd w:id="125"/>
    <w:bookmarkStart w:id="127" w:name="ref-Zeileis:2004"/>
    <w:p>
      <w:pPr>
        <w:pStyle w:val="Bibliography"/>
      </w:pPr>
      <w:r>
        <w:t xml:space="preserve">45.</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Cs/>
          <w:i/>
        </w:rPr>
        <w:t xml:space="preserve">Journal of Statistical Software</w:t>
      </w:r>
      <w:r>
        <w:t xml:space="preserve">. 2004;11(10):1-17. doi:</w:t>
      </w:r>
      <w:hyperlink r:id="rId126">
        <w:r>
          <w:rPr>
            <w:rStyle w:val="InternetLink"/>
          </w:rPr>
          <w:t xml:space="preserve">10.18637/jss.v011.i10</w:t>
        </w:r>
      </w:hyperlink>
    </w:p>
    <w:bookmarkEnd w:id="127"/>
    <w:bookmarkStart w:id="129" w:name="ref-ZeileisKollGraham:2020"/>
    <w:p>
      <w:pPr>
        <w:pStyle w:val="Bibliography"/>
      </w:pPr>
      <w:r>
        <w:t xml:space="preserve">46.</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Cs/>
          <w:i/>
        </w:rPr>
        <w:t xml:space="preserve">Journal of Statistical Software</w:t>
      </w:r>
      <w:r>
        <w:t xml:space="preserve">. 2020;95(1):1-36. doi:</w:t>
      </w:r>
      <w:hyperlink r:id="rId128">
        <w:r>
          <w:rPr>
            <w:rStyle w:val="InternetLink"/>
          </w:rPr>
          <w:t xml:space="preserve">10.18637/jss.v095.i01</w:t>
        </w:r>
      </w:hyperlink>
    </w:p>
    <w:bookmarkEnd w:id="129"/>
    <w:bookmarkStart w:id="131" w:name="ref-CasasBasaganaSakhi:2018"/>
    <w:p>
      <w:pPr>
        <w:pStyle w:val="Bibliography"/>
      </w:pPr>
      <w:r>
        <w:t xml:space="preserve">47.</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2018;121(Pt 1, Pt 1):561-573. doi:</w:t>
      </w:r>
      <w:hyperlink r:id="rId130">
        <w:r>
          <w:rPr>
            <w:rStyle w:val="InternetLink"/>
          </w:rPr>
          <w:t xml:space="preserve">10.1016/j.envint.2018.09.046</w:t>
        </w:r>
      </w:hyperlink>
    </w:p>
    <w:bookmarkEnd w:id="131"/>
    <w:bookmarkEnd w:id="132"/>
    <w:p>
      <w:r>
        <w:br w:type="page"/>
      </w:r>
    </w:p>
    <w:bookmarkEnd w:id="133"/>
    <w:bookmarkStart w:id="140" w:name="tables-for-descriptive-data"/>
    <w:p>
      <w:pPr>
        <w:pStyle w:val="Heading1"/>
      </w:pPr>
      <w:r>
        <w:t xml:space="preserve">Tables for descriptive data</w:t>
      </w:r>
    </w:p>
    <w:bookmarkStart w:id="135"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34" w:name="tbl-pop-desc"/>
          <w:p>
            <w:pPr>
              <w:jc w:val="center"/>
            </w:pPr>
            <w:pPr>
              <w:jc w:val="start"/>
              <w:spacing w:before="200"/>
              <w:pStyle w:val="ImageCaption"/>
            </w:pPr>
            <w:r>
              <w:t xml:space="preserve">Table 1:</w:t>
            </w:r>
            <w:r>
              <w:t xml:space="preserve"> </w:t>
            </w:r>
            <w:r>
              <w:rPr>
                <w:bCs/>
                <w:b/>
              </w:rPr>
              <w:t xml:space="preserve">Participant characteristics, by cohort and overall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(231, 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(292, 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 (185,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(324,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(193,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 (281,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(197, 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 (6.50,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6.61 (6.45, 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 (10.41,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(6.13,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 (8.17,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(6.36,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(8.43, 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(1.39,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51.75 (50.56, 52.90)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(50.34, 52.32)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(49.50, 52.00)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52.00 (51.00, 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52.45 (51.55, 53.56)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51.18 (50.19, 52.01)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52.30 (51.30, 53.25)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(1.13,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(1.39,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(0.39,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(1.63,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(1.00,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(2.13, 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(1.00,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(2.75,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 (2.80,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(2.83,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 (2.83,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(3.29,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(2.58, 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(0.88,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(1.98,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(0.95,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(1.19,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(1.52, 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bookmarkEnd w:id="134"/>
        </w:tc>
      </w:tr>
    </w:tbl>
    <w:bookmarkEnd w:id="135"/>
    <w:bookmarkStart w:id="137"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36" w:name="tbl-edc-desc"/>
          <w:p>
            <w:pPr>
              <w:jc w:val="center"/>
            </w:pPr>
            <w:pPr>
              <w:jc w:val="start"/>
              <w:spacing w:before="200"/>
              <w:pStyle w:val="ImageCaption"/>
            </w:pPr>
            <w:r>
              <w:t xml:space="preserve">Table 2:</w:t>
            </w:r>
            <w:r>
              <w:t xml:space="preserve"> </w:t>
            </w:r>
            <w:r>
              <w:rPr>
                <w:bCs/>
                <w:b/>
              </w:rPr>
              <w:t xml:space="preserve">Participants endocrine disruptors concentrations, by cohort and overall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(0.11,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(0.39,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(0.45,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(42,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5.3)</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bookmarkEnd w:id="136"/>
        </w:tc>
      </w:tr>
    </w:tbl>
    <w:bookmarkEnd w:id="137"/>
    <w:bookmarkStart w:id="139" w:name="glucocorticosteroids"/>
    <w:p>
      <w:pPr>
        <w:pStyle w:val="Heading2"/>
      </w:pPr>
      <w:r>
        <w:t xml:space="preserve">Glucocorticosteroids</w:t>
      </w:r>
    </w:p>
    <w:tbl>
      <w:tblPr>
        <w:tblStyle w:val="Table"/>
        <w:tblW w:type="pct" w:w="5000"/>
        <w:tblLook w:firstRow="0" w:lastRow="0" w:firstColumn="0" w:lastColumn="0" w:noHBand="0" w:noVBand="0" w:val="0000"/>
        <w:jc w:val="start"/>
        <w:tblLayout w:type="fixed"/>
      </w:tblPr>
      <w:tblGrid>
        <w:gridCol w:w="7920"/>
      </w:tblGrid>
      <w:tr>
        <w:tc>
          <w:tcPr/>
          <w:bookmarkStart w:id="138" w:name="tbl-met-desc"/>
          <w:p>
            <w:pPr>
              <w:jc w:val="center"/>
            </w:pPr>
            <w:pPr>
              <w:jc w:val="start"/>
              <w:spacing w:before="200"/>
              <w:pStyle w:val="ImageCaption"/>
            </w:pPr>
            <w:r>
              <w:t xml:space="preserve">Table 3:</w:t>
            </w:r>
            <w:r>
              <w:t xml:space="preserve"> </w:t>
            </w:r>
            <w:r>
              <w:rPr>
                <w:bCs/>
                <w:b/>
              </w:rPr>
              <w:t xml:space="preserve">Participants glucocorticosteroids concentrations, by cohort and overall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(0.90,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(0.92,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(1.26,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(0.59,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(1.02,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(0.62,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 (1,660, 4,350)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 (2,216, 5,272)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 (1,842, 5,224)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 (1,656, 4,621)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 (1,260, 3,455)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 (1,652, 4,614)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2,719 (1,548, 3,749)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 (543,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 (656, 1,603)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(723,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 (389, 1,259)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(493, 1,261)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(565,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 (542, 1,195)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(28,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(57,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(47,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(46,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(70,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(67,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(107,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(73,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(69,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(98,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(90,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(87,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(80,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(76,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(118,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(153,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(141,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(88,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(115,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(114, 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(129, 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(128,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(141,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 (221, 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(81,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(152,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(96,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(141, 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(41,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(51,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 (1,868, 4,672)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 (2,323, 4,791)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3,591 (2,235, 5,287)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(1,448, 3,989)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(1,785,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 (2,010, 5,901)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(1,605, 4,011)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 (364,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 (377, 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 (566,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(261,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 (318, 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(401, 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 (397, 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(335,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(334,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 (452,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(272, 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(289, 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(328, 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 (367, 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(104,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(88,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(83,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(75,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(73,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(0.25,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(0.25,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(0.37,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(114,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(87,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(230,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(82,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(113,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(105,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(149, 403)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(0.49,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(0.18,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(0.31,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(0.17,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(0.21,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(0.19,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(0.14,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(0.15, 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(78,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(297,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(63,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(62,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(131,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(51,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 (223,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(46,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 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(0.16,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bookmarkEnd w:id="138"/>
        </w:tc>
      </w:tr>
    </w:tbl>
    <w:bookmarkEnd w:id="139"/>
    <w:bookmarkEnd w:id="140"/>
    <w:bookmarkStart w:id="145" w:name="tables-for-other-analyses"/>
    <w:p>
      <w:pPr>
        <w:pStyle w:val="Heading1"/>
      </w:pPr>
      <w:r>
        <w:t xml:space="preserve">Tables for other analyses</w:t>
      </w:r>
    </w:p>
    <w:bookmarkStart w:id="144" w:name="Xfe21795c12cc91b54002b32d590cceab5746351"/>
    <w:p>
      <w:pPr>
        <w:pStyle w:val="Heading2"/>
      </w:pPr>
      <w:r>
        <w:t xml:space="preserve">Marginal hypotheses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41" w:name="tbl-hypothesis-1"/>
          <w:p>
            <w:pPr>
              <w:jc w:val="center"/>
            </w:pPr>
            <w:pPr>
              <w:jc w:val="start"/>
              <w:spacing w:before="200"/>
              <w:pStyle w:val="ImageCaption"/>
            </w:pPr>
            <w:r>
              <w:t xml:space="preserve">Table 4:</w:t>
            </w:r>
            <w:r>
              <w:t xml:space="preserve"> </w:t>
            </w:r>
            <w:r>
              <w:rPr>
                <w:bCs/>
                <w:b/>
              </w:rPr>
              <w:t xml:space="preserve">Pairwise differences between sex-specific marginal contrasts for the effect of EDCs on HRT-SE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 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(-0.031,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(-0.12,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(-0.033, 0.021)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(-0.035, 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(-0.081,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-0.032 (-0.059, -0.004)*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(-0.095, 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(-0.056, 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(-0.024, 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(-0.095, 0.019)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(-0.016,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(-0.112, 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(-0.09,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(-0.089,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(0.017, 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(-0.086,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(-0.105,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(-0.113, 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(-0.087, 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0.063 (0.002, 0.124)*</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2" w:name="tbl-hypothesis-2"/>
          <w:p>
            <w:pPr>
              <w:jc w:val="center"/>
            </w:pPr>
            <w:pPr>
              <w:jc w:val="start"/>
              <w:spacing w:before="200"/>
              <w:pStyle w:val="ImageCaption"/>
            </w:pPr>
            <w:r>
              <w:t xml:space="preserve">Table 5:</w:t>
            </w:r>
            <w:r>
              <w:t xml:space="preserve"> </w:t>
            </w:r>
            <w:r>
              <w:rPr>
                <w:bCs/>
                <w:b/>
              </w:rPr>
              <w:t xml:space="preserve">Pairwise differences between sex-specific marginal contrasts for the effect of EDCs on the glucocorticosteroids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(-0.092, 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0.211 (0.088, 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(-0.038, 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(-0.187,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(-0.063,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0.233 (0.033, 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 (-0.024, 0.379)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0.214 (0.048, 0.381)*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(-0.179, 0.198)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(-0.123, 0.327)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(-0.162, 0.254)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(-0.113, 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 (-0.091,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(0.039, 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(-0.018,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 (-0.103,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(-0.008, 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(-0.058, 0.484)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 (-0.149,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(-0.133, 0.267)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0.106 (0.002,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(0.012,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(0.016, 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 (-0.011,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(-0.108,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(-0.101, 0.339)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(-0.019, 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0.126 (0.041,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(-0.095, 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(0.027, 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(-0.023, 0.245)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(-0.059, 0.205)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 0.232)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 (-0.069,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(-0.019, 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 (-0.07, 0.267)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0.146 (0.004, 0.288)*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 (-0.001, 0.274)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(-0.188, 0.372)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(-0.189, 0.295)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(-0.054, 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(-0.247, 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(-0.189, 0.284)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(-0.126, 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(-0.289,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-0.118 (-0.201,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(-0.185, 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(-0.086,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 (0.01, 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(-0.066, 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(0.045, 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0.178 (0.084,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(0.032, 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(-0.125, 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(-0.008,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(-0.056, 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0.072 (0.005,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(-0.078, 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(-0.053,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(-0.115,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(-0.041, 0.181)</w:t>
                  </w:r>
                </w:p>
              </w:tc>
            </w:tr>
            <w:tr>
              <w:trPr>
                <w:cantSplit/>
              </w:trPr>
              <w:tc>
                <w:tcPr>
                  <w:gridSpan w:val="4"/>
                </w:tcPr>
                <w:p>
                  <w:pPr>
                    <w:spacing w:before="0" w:after="60"/>
                    <w:keepNext/>
                  </w:pPr>
                  <w:r>
                    <w:rPr>
                      <w:rFonts w:ascii="Calibri" w:hAnsi="Calibri"/>
                      <w:sz w:val="20"/>
                    </w:rPr>
                    <w:t xml:space="default">*Significant results.</w:t>
                  </w:r>
                </w:p>
              </w:tc>
            </w:tr>
            <w:tr>
              <w:trPr>
                <w:cantSplit/>
              </w:trPr>
              <w:tc>
                <w:tcPr>
                  <w:gridSpan w:val="4"/>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2"/>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3" w:name="tbl-hypothesis-3"/>
          <w:p>
            <w:pPr>
              <w:jc w:val="center"/>
            </w:pPr>
            <w:pPr>
              <w:jc w:val="start"/>
              <w:spacing w:before="200"/>
              <w:pStyle w:val="ImageCaption"/>
            </w:pPr>
            <w:r>
              <w:t xml:space="preserve">Table 6:</w:t>
            </w:r>
            <w:r>
              <w:t xml:space="preserve"> </w:t>
            </w:r>
            <w:r>
              <w:rPr>
                <w:bCs/>
                <w:b/>
              </w:rPr>
              <w:t xml:space="preserve">Pairwise differences between sex-specific marginal contrasts for the effect of the glucocorticosteroids on HRT-SE (HELIX Study;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-0.135 (-0.241,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(-0.238, 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 (-0.253, -0.006)*</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3"/>
        </w:tc>
      </w:tr>
    </w:tbl>
    <w:p>
      <w:r>
        <w:br w:type="page"/>
      </w:r>
    </w:p>
    <w:bookmarkEnd w:id="144"/>
    <w:bookmarkEnd w:id="145"/>
    <w:bookmarkStart w:id="159" w:name="figures-for-main-results"/>
    <w:p>
      <w:pPr>
        <w:pStyle w:val="Heading1"/>
      </w:pPr>
      <w:r>
        <w:t xml:space="preserve">Figures for main results</w:t>
      </w:r>
    </w:p>
    <w:bookmarkStart w:id="158" w:name="marginal-contrasts"/>
    <w:p>
      <w:pPr>
        <w:pStyle w:val="Heading2"/>
      </w:pPr>
      <w:r>
        <w:t xml:space="preserve">Marginal contrasts</w:t>
      </w:r>
    </w:p>
    <w:tbl>
      <w:tblPr>
        <w:tblStyle w:val="Table"/>
        <w:tblW w:type="pct" w:w="5000"/>
        <w:tblLook w:firstRow="0" w:lastRow="0" w:firstColumn="0" w:lastColumn="0" w:noHBand="0" w:noVBand="0" w:val="0000"/>
        <w:jc w:val="start"/>
        <w:tblLayout w:type="fixed"/>
      </w:tblPr>
      <w:tblGrid>
        <w:gridCol w:w="7920"/>
      </w:tblGrid>
      <w:tr>
        <w:tc>
          <w:tcPr/>
          <w:bookmarkStart w:id="149" w:name="fig-marginal-1"/>
          <w:p>
            <w:pPr>
              <w:jc w:val="center"/>
            </w:pPr>
            <w:r>
              <w:drawing>
                <wp:inline>
                  <wp:extent cx="5943600" cy="6603999"/>
                  <wp:effectExtent b="0" l="0" r="0" t="0"/>
                  <wp:docPr descr="" title="" id="147" name="Picture"/>
                  <a:graphic>
                    <a:graphicData uri="http://schemas.openxmlformats.org/drawingml/2006/picture">
                      <pic:pic>
                        <pic:nvPicPr>
                          <pic:cNvPr descr="manuscript_files/figure-docx/marginal-1-1.png" id="148" name="Picture"/>
                          <pic:cNvPicPr>
                            <a:picLocks noChangeArrowheads="1" noChangeAspect="1"/>
                          </pic:cNvPicPr>
                        </pic:nvPicPr>
                        <pic:blipFill>
                          <a:blip r:embed="rId146"/>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Marginal contrasts (exposures: EDCs; outcome: HRT-SE) (HELIX Study;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49"/>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3" w:name="fig-marginal-2"/>
          <w:p>
            <w:pPr>
              <w:jc w:val="center"/>
            </w:pPr>
            <w:r>
              <w:drawing>
                <wp:inline>
                  <wp:extent cx="5943600" cy="7924799"/>
                  <wp:effectExtent b="0" l="0" r="0" t="0"/>
                  <wp:docPr descr="" title="" id="151" name="Picture"/>
                  <a:graphic>
                    <a:graphicData uri="http://schemas.openxmlformats.org/drawingml/2006/picture">
                      <pic:pic>
                        <pic:nvPicPr>
                          <pic:cNvPr descr="manuscript_files/figure-docx/marginal-2-1.png" id="152" name="Picture"/>
                          <pic:cNvPicPr>
                            <a:picLocks noChangeArrowheads="1" noChangeAspect="1"/>
                          </pic:cNvPicPr>
                        </pic:nvPicPr>
                        <pic:blipFill>
                          <a:blip r:embed="rId150"/>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Marginal contrasts (exposures: EDCs; outcomes: glucocorticosteroids) (HELIX Study;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w:t>
            </w:r>
          </w:p>
          <w:bookmarkEnd w:id="15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7" w:name="fig-marginal-3"/>
          <w:p>
            <w:pPr>
              <w:jc w:val="center"/>
            </w:pPr>
            <w:r>
              <w:drawing>
                <wp:inline>
                  <wp:extent cx="5943600" cy="3301999"/>
                  <wp:effectExtent b="0" l="0" r="0" t="0"/>
                  <wp:docPr descr="" title="" id="155" name="Picture"/>
                  <a:graphic>
                    <a:graphicData uri="http://schemas.openxmlformats.org/drawingml/2006/picture">
                      <pic:pic>
                        <pic:nvPicPr>
                          <pic:cNvPr descr="manuscript_files/figure-docx/marginal-3-1.png" id="156" name="Picture"/>
                          <pic:cNvPicPr>
                            <a:picLocks noChangeArrowheads="1" noChangeAspect="1"/>
                          </pic:cNvPicPr>
                        </pic:nvPicPr>
                        <pic:blipFill>
                          <a:blip r:embed="rId154"/>
                          <a:stretch>
                            <a:fillRect/>
                          </a:stretch>
                        </pic:blipFill>
                        <pic:spPr bwMode="auto">
                          <a:xfrm>
                            <a:off x="0" y="0"/>
                            <a:ext cx="5943600" cy="3301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Cs/>
                <w:b/>
              </w:rPr>
              <w:t xml:space="preserve">Marginal contrasts (exposures: glucocorticosteroids; outcome: HRT-SE) (HELIX Study;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7"/>
        </w:tc>
      </w:tr>
    </w:tbl>
    <w:p>
      <w:r>
        <w:br w:type="page"/>
      </w:r>
    </w:p>
    <w:p>
      <w:pPr>
        <w:numPr>
          <w:ilvl w:val="0"/>
          <w:numId w:val="1003"/>
        </w:numPr>
        <w:pStyle w:val="Compact"/>
      </w:pPr>
      <w:r>
        <w:t xml:space="preserve">Files for supplementary data must be accompanied by a summary of the file names and types.</w:t>
      </w:r>
    </w:p>
    <w:bookmarkEnd w:id="158"/>
    <w:bookmarkEnd w:id="159"/>
    <w:bookmarkStart w:id="161" w:name="supplementary-information"/>
    <w:p>
      <w:pPr>
        <w:pStyle w:val="Heading1"/>
      </w:pPr>
      <w:r>
        <w:t xml:space="preserve">Supplementary information</w:t>
      </w:r>
    </w:p>
    <w:bookmarkStart w:id="160"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60"/>
    <w:bookmarkEnd w:id="161"/>
    <w:bookmarkStart w:id="185" w:name="supplementary-tables"/>
    <w:p>
      <w:pPr>
        <w:pStyle w:val="Heading1"/>
      </w:pPr>
      <w:r>
        <w:t xml:space="preserve">Supplementary tables</w:t>
      </w:r>
    </w:p>
    <w:bookmarkStart w:id="171" w:name="tables-for-descriptive-data-1"/>
    <w:p>
      <w:pPr>
        <w:pStyle w:val="Heading2"/>
      </w:pPr>
      <w:r>
        <w:t xml:space="preserve">Tables for descriptive data</w:t>
      </w:r>
    </w:p>
    <w:bookmarkStart w:id="165"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62"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S1:</w:t>
            </w:r>
            <w:r>
              <w:t xml:space="preserve"> </w:t>
            </w:r>
            <w:r>
              <w:rPr>
                <w:bCs/>
                <w:b/>
              </w:rPr>
              <w:t xml:space="preserve">Codebook for the covariates used in the estimation of the marginal comparisons of EDCs on HRT-SE.</w:t>
            </w:r>
          </w:p>
          <w:bookmarkEnd w:id="162"/>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3"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S2:</w:t>
            </w:r>
            <w:r>
              <w:t xml:space="preserve"> </w:t>
            </w:r>
            <w:r>
              <w:rPr>
                <w:bCs/>
                <w:b/>
              </w:rPr>
              <w:t xml:space="preserve">Codebook for the covariates used in the estimation of the marginal comparisons of EDCs on the glucocorticosteroids.</w:t>
            </w:r>
          </w:p>
          <w:bookmarkEnd w:id="16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4"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S3:</w:t>
            </w:r>
            <w:r>
              <w:t xml:space="preserve"> </w:t>
            </w:r>
            <w:r>
              <w:rPr>
                <w:bCs/>
                <w:b/>
              </w:rPr>
              <w:t xml:space="preserve">Codebook for the covariates used in the estimation of the marginal comparisons of the glucocorticosteroids on HRT-SE.</w:t>
            </w:r>
          </w:p>
          <w:bookmarkEnd w:id="164"/>
        </w:tc>
      </w:tr>
    </w:tbl>
    <w:bookmarkEnd w:id="165"/>
    <w:bookmarkStart w:id="167" w:name="description-of-chemicals"/>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66"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BzBP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S4:</w:t>
            </w:r>
            <w:r>
              <w:t xml:space="preserve"> </w:t>
            </w:r>
            <w:r>
              <w:rPr>
                <w:bCs/>
                <w:b/>
              </w:rPr>
              <w:t xml:space="preserve">Information about non-persistent EDCs, including the full compound name, the standard symbol, the used variable name, the identifier from PubChem, and the parental compound.</w:t>
            </w:r>
          </w:p>
          <w:bookmarkEnd w:id="166"/>
        </w:tc>
      </w:tr>
    </w:tbl>
    <w:bookmarkEnd w:id="167"/>
    <w:bookmarkStart w:id="170" w:name="description-of-metabolites"/>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68"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S5:</w:t>
            </w:r>
            <w:r>
              <w:t xml:space="preserve"> </w:t>
            </w:r>
            <w:r>
              <w:rPr>
                <w:bCs/>
                <w:b/>
              </w:rPr>
              <w:t xml:space="preserve">Information about the glucocorticosteroids, including the full metabolite name, the standard symbol, the identifier from the HMDB, and the CAS number.</w:t>
            </w:r>
          </w:p>
          <w:bookmarkEnd w:id="168"/>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9"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LLOQ</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r>
            <w:tr>
              <w:trPr>
                <w:cantSplit/>
              </w:trPr>
              <w:tc>
                <w:tcPr>
                  <w:gridSpan w:val="2"/>
                </w:tcPr>
                <w:p>
                  <w:pPr>
                    <w:spacing w:before="0" w:after="60"/>
                    <w:keepNext/>
                  </w:pPr>
                  <w:r>
                    <w:rPr>
                      <w:rFonts w:ascii="Calibri" w:hAnsi="Calibri"/>
                      <w:sz w:val="20"/>
                    </w:rPr>
                    <w:t xml:space="default">Abbreviations: lower limit of quantification (LLOQ), expressed in nanograms per millilitre.</w:t>
                  </w:r>
                </w:p>
              </w:tc>
            </w:tr>
          </w:tbl>
          <w:p>
            <w:pPr>
              <w:jc w:val="center"/>
            </w:pPr>
            <w:pPr>
              <w:jc w:val="start"/>
              <w:spacing w:before="200"/>
              <w:pStyle w:val="ImageCaption"/>
            </w:pPr>
            <w:r>
              <w:t xml:space="preserve">Table S6:</w:t>
            </w:r>
            <w:r>
              <w:t xml:space="preserve"> </w:t>
            </w:r>
            <w:r>
              <w:rPr>
                <w:bCs/>
                <w:b/>
              </w:rPr>
              <w:t xml:space="preserve">Lower limits of quantification for the glucocorticosteroids (HELIX Study; 2013-2016).</w:t>
            </w:r>
          </w:p>
          <w:bookmarkEnd w:id="169"/>
        </w:tc>
      </w:tr>
    </w:tbl>
    <w:bookmarkEnd w:id="170"/>
    <w:bookmarkEnd w:id="171"/>
    <w:bookmarkStart w:id="179" w:name="tables-for-main-results"/>
    <w:p>
      <w:pPr>
        <w:pStyle w:val="Heading2"/>
      </w:pPr>
      <w:r>
        <w:t xml:space="preserve">Tables for main results</w:t>
      </w:r>
    </w:p>
    <w:bookmarkStart w:id="178" w:name="balancing-weights"/>
    <w:p>
      <w:pPr>
        <w:pStyle w:val="Heading3"/>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72"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S7:</w:t>
            </w:r>
            <w:r>
              <w:t xml:space="preserve"> </w:t>
            </w:r>
            <w:r>
              <w:rPr>
                <w:bCs/>
                <w:b/>
              </w:rPr>
              <w:t xml:space="preserve">Effective sample size before and after balancing weights estimation (exposures: EDCs; outcome: HRT-SE) (HELIX Study; 2013-2016).</w:t>
            </w:r>
          </w:p>
          <w:bookmarkEnd w:id="172"/>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3"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S8:</w:t>
            </w:r>
            <w:r>
              <w:t xml:space="preserve"> </w:t>
            </w:r>
            <w:r>
              <w:rPr>
                <w:bCs/>
                <w:b/>
              </w:rPr>
              <w:t xml:space="preserve">Effective sample size before and after balancing weights estimation (exposures: EDCs; outcomes: glucocorticosteroids) (HELIX Study; 2013-2016).</w:t>
            </w:r>
          </w:p>
          <w:bookmarkEnd w:id="17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4"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Cs/>
                <w:b/>
              </w:rPr>
              <w:t xml:space="preserve">Effective sample size before and after balancing weights estimation (exposures: glucocorticosteroids; outcome: HRT-SE) (HELIX Study; 2013-2016).</w:t>
            </w:r>
          </w:p>
          <w:bookmarkEnd w:id="174"/>
        </w:tc>
      </w:tr>
    </w:tbl>
    <w:p/>
    <w:tbl>
      <w:tblPr>
        <w:tblStyle w:val="Table"/>
        <w:tblW w:type="pct" w:w="5000"/>
        <w:tblLook w:firstRow="0" w:lastRow="0" w:firstColumn="0" w:lastColumn="0" w:noHBand="0" w:noVBand="0" w:val="0000"/>
        <w:jc w:val="start"/>
        <w:tblLayout w:type="fixed"/>
      </w:tblPr>
      <w:tblGrid>
        <w:gridCol w:w="7920"/>
      </w:tblGrid>
      <w:tr>
        <w:tc>
          <w:tcPr/>
          <w:bookmarkStart w:id="175"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Cs/>
                <w:b/>
              </w:rPr>
              <w:t xml:space="preserve">Summary statistics of the estimated balancing weights (exposures: EDCs; outcome: HRT-SE) (HELIX Study; 2013-2016).</w:t>
            </w:r>
          </w:p>
          <w:bookmarkEnd w:id="175"/>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6"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Cs/>
                <w:b/>
              </w:rPr>
              <w:t xml:space="preserve">Summary statistics of the estimated balancing weights (exposures: EDCs; outcomes: glucocorticosteroids) (HELIX Study; 2013-2016).</w:t>
            </w:r>
          </w:p>
          <w:bookmarkEnd w:id="176"/>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7"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Cs/>
                <w:b/>
              </w:rPr>
              <w:t xml:space="preserve">Summary statistics of the estimated balancing weights (exposures: glucocorticosteroids; outcome: HRT-SE) (HELIX Study; 2013-2016).</w:t>
            </w:r>
          </w:p>
          <w:bookmarkEnd w:id="177"/>
        </w:tc>
      </w:tr>
    </w:tbl>
    <w:bookmarkEnd w:id="178"/>
    <w:bookmarkEnd w:id="179"/>
    <w:bookmarkStart w:id="184" w:name="tables-for-other-results"/>
    <w:p>
      <w:pPr>
        <w:pStyle w:val="Heading2"/>
      </w:pPr>
      <w:r>
        <w:t xml:space="preserve">Tables for other results</w:t>
      </w:r>
    </w:p>
    <w:bookmarkStart w:id="183"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80"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Cs/>
                <w:b/>
              </w:rPr>
              <w:t xml:space="preserve">Summary statistics of the estimated balancing weights for effect modification (exposures: EDCs; outcome: HRT-SE; modifier: sex) (HELIX Study; 2013-2016).</w:t>
            </w:r>
          </w:p>
          <w:bookmarkEnd w:id="180"/>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1"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Cs/>
                <w:b/>
              </w:rPr>
              <w:t xml:space="preserve">Summary statistics of the estimated balancing weights for effect modification (exposures: EDCs; outcomes: glucocorticosteroids; modifier: sex) (HELIX Study; 2013-2016).</w:t>
            </w:r>
          </w:p>
          <w:bookmarkEnd w:id="18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2"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Cs/>
                <w:b/>
              </w:rPr>
              <w:t xml:space="preserve">Summary statistics of the estimated balancing weights for effect modification (exposures: glucocorticosteroids; outcome: HRT-SE; modifier: sex) (HELIX Study; 2013-2016).</w:t>
            </w:r>
          </w:p>
          <w:bookmarkEnd w:id="182"/>
        </w:tc>
      </w:tr>
    </w:tbl>
    <w:bookmarkEnd w:id="183"/>
    <w:bookmarkEnd w:id="184"/>
    <w:bookmarkEnd w:id="185"/>
    <w:bookmarkStart w:id="212" w:name="supplementary-figures"/>
    <w:p>
      <w:pPr>
        <w:pStyle w:val="Heading1"/>
      </w:pPr>
      <w:r>
        <w:t xml:space="preserve">Supplementary figures</w:t>
      </w:r>
    </w:p>
    <w:bookmarkStart w:id="196" w:name="figures-for-descriptive-data"/>
    <w:p>
      <w:pPr>
        <w:pStyle w:val="Heading2"/>
      </w:pPr>
      <w:r>
        <w:t xml:space="preserve">Figures for descriptive data</w:t>
      </w:r>
    </w:p>
    <w:bookmarkStart w:id="190" w:name="description-of-chemicals-1"/>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89" w:name="suppfig-desc-chems"/>
          <w:p>
            <w:pPr>
              <w:jc w:val="center"/>
            </w:pPr>
            <w:r>
              <w:drawing>
                <wp:inline>
                  <wp:extent cx="5544151" cy="6468176"/>
                  <wp:effectExtent b="0" l="0" r="0" t="0"/>
                  <wp:docPr descr="" title="" id="187" name="Picture"/>
                  <a:graphic>
                    <a:graphicData uri="http://schemas.openxmlformats.org/drawingml/2006/picture">
                      <pic:pic>
                        <pic:nvPicPr>
                          <pic:cNvPr descr="manuscript_files/figure-docx/desc-chems-lod-1.png" id="188" name="Picture"/>
                          <pic:cNvPicPr>
                            <a:picLocks noChangeArrowheads="1" noChangeAspect="1"/>
                          </pic:cNvPicPr>
                        </pic:nvPicPr>
                        <pic:blipFill>
                          <a:blip r:embed="rId186"/>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w:t>
            </w:r>
            <w:r>
              <w:t xml:space="preserve"> </w:t>
            </w:r>
            <w:r>
              <w:rPr>
                <w:bCs/>
                <w:b/>
              </w:rPr>
              <w:t xml:space="preserve">Measurement classification of EDCs, by cohort (HELIX Study; 2013-2016).</w:t>
            </w:r>
            <w:r>
              <w:t xml:space="preserve"> </w:t>
            </w:r>
            <w:r>
              <w:t xml:space="preserve">Coding: 1, quantifiable; 2, &lt;LOD; 3, interference or out of range; 4. not analysed.</w:t>
            </w:r>
          </w:p>
          <w:bookmarkEnd w:id="189"/>
        </w:tc>
      </w:tr>
    </w:tbl>
    <w:bookmarkEnd w:id="190"/>
    <w:bookmarkStart w:id="195" w:name="description-of-metabolites-1"/>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94" w:name="suppfig-desc-mets"/>
          <w:p>
            <w:pPr>
              <w:jc w:val="center"/>
            </w:pPr>
            <w:r>
              <w:drawing>
                <wp:inline>
                  <wp:extent cx="5544151" cy="6468176"/>
                  <wp:effectExtent b="0" l="0" r="0" t="0"/>
                  <wp:docPr descr="" title="" id="192" name="Picture"/>
                  <a:graphic>
                    <a:graphicData uri="http://schemas.openxmlformats.org/drawingml/2006/picture">
                      <pic:pic>
                        <pic:nvPicPr>
                          <pic:cNvPr descr="manuscript_files/figure-docx/desc-mets-lod-1.png" id="193" name="Picture"/>
                          <pic:cNvPicPr>
                            <a:picLocks noChangeArrowheads="1" noChangeAspect="1"/>
                          </pic:cNvPicPr>
                        </pic:nvPicPr>
                        <pic:blipFill>
                          <a:blip r:embed="rId191"/>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Cs/>
                <w:b/>
              </w:rPr>
              <w:t xml:space="preserve">Measurement classification of the glucocorticosteroids, by cohort (HELIX Study; 2013-2016).</w:t>
            </w:r>
            <w:r>
              <w:t xml:space="preserve"> </w:t>
            </w:r>
            <w:r>
              <w:t xml:space="preserve">Coding: 1, quantifiable; 2, &lt;LOQ; 3, interference or out of range; 4, not detected.</w:t>
            </w:r>
          </w:p>
          <w:bookmarkEnd w:id="194"/>
        </w:tc>
      </w:tr>
    </w:tbl>
    <w:bookmarkEnd w:id="195"/>
    <w:bookmarkEnd w:id="196"/>
    <w:bookmarkStart w:id="211" w:name="figures-for-other-results"/>
    <w:p>
      <w:pPr>
        <w:pStyle w:val="Heading2"/>
      </w:pPr>
      <w:r>
        <w:t xml:space="preserve">Figures for other results</w:t>
      </w:r>
    </w:p>
    <w:bookmarkStart w:id="209" w:name="X0effc2a5a10272e84becf53856373ad8fc9d66f"/>
    <w:p>
      <w:pPr>
        <w:pStyle w:val="Heading3"/>
      </w:pPr>
      <w:r>
        <w:t xml:space="preserve">Marginal contrasts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200" w:name="suppfig-marginal-1sa"/>
          <w:p>
            <w:pPr>
              <w:jc w:val="center"/>
            </w:pPr>
            <w:r>
              <w:drawing>
                <wp:inline>
                  <wp:extent cx="5544151" cy="6468176"/>
                  <wp:effectExtent b="0" l="0" r="0" t="0"/>
                  <wp:docPr descr="" title="" id="198" name="Picture"/>
                  <a:graphic>
                    <a:graphicData uri="http://schemas.openxmlformats.org/drawingml/2006/picture">
                      <pic:pic>
                        <pic:nvPicPr>
                          <pic:cNvPr descr="manuscript_files/figure-docx/marginal-1sa-1.png" id="199" name="Picture"/>
                          <pic:cNvPicPr>
                            <a:picLocks noChangeArrowheads="1" noChangeAspect="1"/>
                          </pic:cNvPicPr>
                        </pic:nvPicPr>
                        <pic:blipFill>
                          <a:blip r:embed="rId197"/>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Cs/>
                <w:b/>
              </w:rPr>
              <w:t xml:space="preserve">Marginal contrasts for effect modification (exposures: EDCs; outcome: HRT-SE; modifier: sex) (HELIX Study;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0"/>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4" w:name="suppfig-marginal-2sa"/>
          <w:p>
            <w:pPr>
              <w:jc w:val="center"/>
            </w:pPr>
            <w:r>
              <w:drawing>
                <wp:inline>
                  <wp:extent cx="5943600" cy="7924799"/>
                  <wp:effectExtent b="0" l="0" r="0" t="0"/>
                  <wp:docPr descr="" title="" id="202" name="Picture"/>
                  <a:graphic>
                    <a:graphicData uri="http://schemas.openxmlformats.org/drawingml/2006/picture">
                      <pic:pic>
                        <pic:nvPicPr>
                          <pic:cNvPr descr="manuscript_files/figure-docx/marginal-2sa-1.png" id="203" name="Picture"/>
                          <pic:cNvPicPr>
                            <a:picLocks noChangeArrowheads="1" noChangeAspect="1"/>
                          </pic:cNvPicPr>
                        </pic:nvPicPr>
                        <pic:blipFill>
                          <a:blip r:embed="rId201"/>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Cs/>
                <w:b/>
              </w:rPr>
              <w:t xml:space="preserve">Marginal contrasts for effect modification (exposures: EDCs; outcomes: glucocorticosteroids; modifier: sex) (HELIX Study;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4"/>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8" w:name="suppfig-marginal-3sa"/>
          <w:p>
            <w:pPr>
              <w:jc w:val="center"/>
            </w:pPr>
            <w:r>
              <w:drawing>
                <wp:inline>
                  <wp:extent cx="5544151" cy="4620126"/>
                  <wp:effectExtent b="0" l="0" r="0" t="0"/>
                  <wp:docPr descr="" title="" id="206" name="Picture"/>
                  <a:graphic>
                    <a:graphicData uri="http://schemas.openxmlformats.org/drawingml/2006/picture">
                      <pic:pic>
                        <pic:nvPicPr>
                          <pic:cNvPr descr="manuscript_files/figure-docx/marginal-3sa-1.png" id="207" name="Picture"/>
                          <pic:cNvPicPr>
                            <a:picLocks noChangeArrowheads="1" noChangeAspect="1"/>
                          </pic:cNvPicPr>
                        </pic:nvPicPr>
                        <pic:blipFill>
                          <a:blip r:embed="rId205"/>
                          <a:stretch>
                            <a:fillRect/>
                          </a:stretch>
                        </pic:blipFill>
                        <pic:spPr bwMode="auto">
                          <a:xfrm>
                            <a:off x="0" y="0"/>
                            <a:ext cx="5544151"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Cs/>
                <w:b/>
              </w:rPr>
              <w:t xml:space="preserve">Marginal contrasts for effect modification (exposures: glucocorticosteroids; outcome: HRT-SE; modifier: sex) (HELIX Study;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8"/>
        </w:tc>
      </w:tr>
    </w:tbl>
    <w:bookmarkEnd w:id="209"/>
    <w:bookmarkStart w:id="210" w:name="sensitivity-to-exposure-assessment-1"/>
    <w:p>
      <w:pPr>
        <w:pStyle w:val="Heading3"/>
      </w:pPr>
      <w:r>
        <w:t xml:space="preserve">Sensitivity to exposure assessment</w:t>
      </w:r>
    </w:p>
    <w:bookmarkEnd w:id="210"/>
    <w:bookmarkEnd w:id="211"/>
    <w:bookmarkEnd w:id="212"/>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6" Target="media/rId186.png" /><Relationship Type="http://schemas.openxmlformats.org/officeDocument/2006/relationships/image" Id="rId191" Target="media/rId191.png" /><Relationship Type="http://schemas.openxmlformats.org/officeDocument/2006/relationships/image" Id="rId146" Target="media/rId146.png" /><Relationship Type="http://schemas.openxmlformats.org/officeDocument/2006/relationships/image" Id="rId197" Target="media/rId197.png" /><Relationship Type="http://schemas.openxmlformats.org/officeDocument/2006/relationships/image" Id="rId150" Target="media/rId150.png" /><Relationship Type="http://schemas.openxmlformats.org/officeDocument/2006/relationships/image" Id="rId201" Target="media/rId201.png" /><Relationship Type="http://schemas.openxmlformats.org/officeDocument/2006/relationships/image" Id="rId154" Target="media/rId154.png" /><Relationship Type="http://schemas.openxmlformats.org/officeDocument/2006/relationships/image" Id="rId205" Target="media/rId205.png" /><Relationship Type="http://schemas.openxmlformats.org/officeDocument/2006/relationships/hyperlink" Id="rId69" Target="https://doi.org/10.1001/jamanetworkopen.2020.15041" TargetMode="External" /><Relationship Type="http://schemas.openxmlformats.org/officeDocument/2006/relationships/hyperlink" Id="rId41" Target="https://doi.org/10.1016/S1474-4422(13)70278-3" TargetMode="External" /><Relationship Type="http://schemas.openxmlformats.org/officeDocument/2006/relationships/hyperlink" Id="rId105" Target="https://doi.org/10.1016/j.aca.2013.12.030" TargetMode="External" /><Relationship Type="http://schemas.openxmlformats.org/officeDocument/2006/relationships/hyperlink" Id="rId107" Target="https://doi.org/10.1016/j.chroma.2020.461179" TargetMode="External" /><Relationship Type="http://schemas.openxmlformats.org/officeDocument/2006/relationships/hyperlink" Id="rId47" Target="https://doi.org/10.1016/j.envint.2015.09.019" TargetMode="External" /><Relationship Type="http://schemas.openxmlformats.org/officeDocument/2006/relationships/hyperlink" Id="rId77" Target="https://doi.org/10.1016/j.envint.2018.09.037" TargetMode="External" /><Relationship Type="http://schemas.openxmlformats.org/officeDocument/2006/relationships/hyperlink" Id="rId130" Target="https://doi.org/10.1016/j.envint.2018.09.046" TargetMode="External" /><Relationship Type="http://schemas.openxmlformats.org/officeDocument/2006/relationships/hyperlink" Id="rId103" Target="https://doi.org/10.1016/j.envint.2018.09.056" TargetMode="External" /><Relationship Type="http://schemas.openxmlformats.org/officeDocument/2006/relationships/hyperlink" Id="rId65" Target="https://doi.org/10.1016/j.envpol.2017.12.056" TargetMode="External" /><Relationship Type="http://schemas.openxmlformats.org/officeDocument/2006/relationships/hyperlink" Id="rId53" Target="https://doi.org/10.1016/j.envres.2016.05.040" TargetMode="External" /><Relationship Type="http://schemas.openxmlformats.org/officeDocument/2006/relationships/hyperlink" Id="rId57" Target="https://doi.org/10.1016/j.envres.2017.03.016" TargetMode="External" /><Relationship Type="http://schemas.openxmlformats.org/officeDocument/2006/relationships/hyperlink" Id="rId59" Target="https://doi.org/10.1016/j.envres.2017.04.003" TargetMode="External" /><Relationship Type="http://schemas.openxmlformats.org/officeDocument/2006/relationships/hyperlink" Id="rId61" Target="https://doi.org/10.1016/j.envres.2017.07.023" TargetMode="External" /><Relationship Type="http://schemas.openxmlformats.org/officeDocument/2006/relationships/hyperlink" Id="rId43" Target="https://doi.org/10.1016/j.envres.2021.111890" TargetMode="External" /><Relationship Type="http://schemas.openxmlformats.org/officeDocument/2006/relationships/hyperlink" Id="rId67" Target="https://doi.org/10.1016/j.neuro.2019.06.006" TargetMode="External" /><Relationship Type="http://schemas.openxmlformats.org/officeDocument/2006/relationships/hyperlink" Id="rId109" Target="https://doi.org/10.1016/j.neuropsychologia.2003.12.012" TargetMode="External" /><Relationship Type="http://schemas.openxmlformats.org/officeDocument/2006/relationships/hyperlink" Id="rId73" Target="https://doi.org/10.1016/j.ntt.2023.107161" TargetMode="External" /><Relationship Type="http://schemas.openxmlformats.org/officeDocument/2006/relationships/hyperlink" Id="rId75" Target="https://doi.org/10.1016/j.scitotenv.2018.01.125" TargetMode="External" /><Relationship Type="http://schemas.openxmlformats.org/officeDocument/2006/relationships/hyperlink" Id="rId63" Target="https://doi.org/10.1038/nrendo.2016.186" TargetMode="External" /><Relationship Type="http://schemas.openxmlformats.org/officeDocument/2006/relationships/hyperlink" Id="rId81" Target="https://doi.org/10.1038/nrn2639" TargetMode="External" /><Relationship Type="http://schemas.openxmlformats.org/officeDocument/2006/relationships/hyperlink" Id="rId119" Target="https://doi.org/10.1080/01621459.2023.2213485" TargetMode="External" /><Relationship Type="http://schemas.openxmlformats.org/officeDocument/2006/relationships/hyperlink" Id="rId79" Target="https://doi.org/10.1093/aje/kwad198" TargetMode="External" /><Relationship Type="http://schemas.openxmlformats.org/officeDocument/2006/relationships/hyperlink" Id="rId95" Target="https://doi.org/10.1093/aje/kwp211" TargetMode="External" /><Relationship Type="http://schemas.openxmlformats.org/officeDocument/2006/relationships/hyperlink" Id="rId93" Target="https://doi.org/10.1093/ije/dyl170" TargetMode="External" /><Relationship Type="http://schemas.openxmlformats.org/officeDocument/2006/relationships/hyperlink" Id="rId89" Target="https://doi.org/10.1093/ije/dyr054" TargetMode="External" /><Relationship Type="http://schemas.openxmlformats.org/officeDocument/2006/relationships/hyperlink" Id="rId85" Target="https://doi.org/10.1093/ije/dys112" TargetMode="External" /><Relationship Type="http://schemas.openxmlformats.org/officeDocument/2006/relationships/hyperlink" Id="rId87" Target="https://doi.org/10.1093/ije/dyv151" TargetMode="External" /><Relationship Type="http://schemas.openxmlformats.org/officeDocument/2006/relationships/hyperlink" Id="rId99" Target="https://doi.org/10.1093/ije/dyw341" TargetMode="External" /><Relationship Type="http://schemas.openxmlformats.org/officeDocument/2006/relationships/hyperlink" Id="rId55" Target="https://doi.org/10.1111/andr.12183" TargetMode="External" /><Relationship Type="http://schemas.openxmlformats.org/officeDocument/2006/relationships/hyperlink" Id="rId97" Target="https://doi.org/10.1136/bmjopen-2017-021311" TargetMode="External" /><Relationship Type="http://schemas.openxmlformats.org/officeDocument/2006/relationships/hyperlink" Id="rId83" Target="https://doi.org/10.1289/ehp.1307204" TargetMode="External" /><Relationship Type="http://schemas.openxmlformats.org/officeDocument/2006/relationships/hyperlink" Id="rId51" Target="https://doi.org/10.1289/ehp.1409472" TargetMode="External" /><Relationship Type="http://schemas.openxmlformats.org/officeDocument/2006/relationships/hyperlink" Id="rId111" Target="https://doi.org/10.1371/journal.pmed.1001792" TargetMode="External" /><Relationship Type="http://schemas.openxmlformats.org/officeDocument/2006/relationships/hyperlink" Id="rId49" Target="https://doi.org/10.1371/journal.pone.0131910" TargetMode="External" /><Relationship Type="http://schemas.openxmlformats.org/officeDocument/2006/relationships/hyperlink" Id="rId45" Target="https://doi.org/10.1542/peds.2009-3058" TargetMode="External" /><Relationship Type="http://schemas.openxmlformats.org/officeDocument/2006/relationships/hyperlink" Id="rId126" Target="https://doi.org/10.18637/jss.v011.i10" TargetMode="External" /><Relationship Type="http://schemas.openxmlformats.org/officeDocument/2006/relationships/hyperlink" Id="rId113" Target="https://doi.org/10.18637/jss.v074.i07" TargetMode="External" /><Relationship Type="http://schemas.openxmlformats.org/officeDocument/2006/relationships/hyperlink" Id="rId128" Target="https://doi.org/10.18637/jss.v095.i01" TargetMode="External" /><Relationship Type="http://schemas.openxmlformats.org/officeDocument/2006/relationships/hyperlink" Id="rId115" Target="https://doi.org/10.21105/joss.03139" TargetMode="External" /><Relationship Type="http://schemas.openxmlformats.org/officeDocument/2006/relationships/hyperlink" Id="rId71" Target="https://doi.org/10.21203/rs.3.rs-2565914/v1" TargetMode="External" /><Relationship Type="http://schemas.openxmlformats.org/officeDocument/2006/relationships/hyperlink" Id="rId122" Target="https://doi.org/10.2139/ssrn.3605606" TargetMode="External" /><Relationship Type="http://schemas.openxmlformats.org/officeDocument/2006/relationships/hyperlink" Id="rId91" Target="https://doi.org/10.3390/ijerph6031282" TargetMode="External" /><Relationship Type="http://schemas.openxmlformats.org/officeDocument/2006/relationships/hyperlink" Id="rId101" Target="https://github.com/r-causal/ggdag" TargetMode="External" /><Relationship Type="http://schemas.openxmlformats.org/officeDocument/2006/relationships/hyperlink" Id="rId124" Target="https://marginaleffects.com/"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01/jamanetworkopen.2020.15041" TargetMode="External" /><Relationship Type="http://schemas.openxmlformats.org/officeDocument/2006/relationships/hyperlink" Id="rId41" Target="https://doi.org/10.1016/S1474-4422(13)70278-3" TargetMode="External" /><Relationship Type="http://schemas.openxmlformats.org/officeDocument/2006/relationships/hyperlink" Id="rId105" Target="https://doi.org/10.1016/j.aca.2013.12.030" TargetMode="External" /><Relationship Type="http://schemas.openxmlformats.org/officeDocument/2006/relationships/hyperlink" Id="rId107" Target="https://doi.org/10.1016/j.chroma.2020.461179" TargetMode="External" /><Relationship Type="http://schemas.openxmlformats.org/officeDocument/2006/relationships/hyperlink" Id="rId47" Target="https://doi.org/10.1016/j.envint.2015.09.019" TargetMode="External" /><Relationship Type="http://schemas.openxmlformats.org/officeDocument/2006/relationships/hyperlink" Id="rId77" Target="https://doi.org/10.1016/j.envint.2018.09.037" TargetMode="External" /><Relationship Type="http://schemas.openxmlformats.org/officeDocument/2006/relationships/hyperlink" Id="rId130" Target="https://doi.org/10.1016/j.envint.2018.09.046" TargetMode="External" /><Relationship Type="http://schemas.openxmlformats.org/officeDocument/2006/relationships/hyperlink" Id="rId103" Target="https://doi.org/10.1016/j.envint.2018.09.056" TargetMode="External" /><Relationship Type="http://schemas.openxmlformats.org/officeDocument/2006/relationships/hyperlink" Id="rId65" Target="https://doi.org/10.1016/j.envpol.2017.12.056" TargetMode="External" /><Relationship Type="http://schemas.openxmlformats.org/officeDocument/2006/relationships/hyperlink" Id="rId53" Target="https://doi.org/10.1016/j.envres.2016.05.040" TargetMode="External" /><Relationship Type="http://schemas.openxmlformats.org/officeDocument/2006/relationships/hyperlink" Id="rId57" Target="https://doi.org/10.1016/j.envres.2017.03.016" TargetMode="External" /><Relationship Type="http://schemas.openxmlformats.org/officeDocument/2006/relationships/hyperlink" Id="rId59" Target="https://doi.org/10.1016/j.envres.2017.04.003" TargetMode="External" /><Relationship Type="http://schemas.openxmlformats.org/officeDocument/2006/relationships/hyperlink" Id="rId61" Target="https://doi.org/10.1016/j.envres.2017.07.023" TargetMode="External" /><Relationship Type="http://schemas.openxmlformats.org/officeDocument/2006/relationships/hyperlink" Id="rId43" Target="https://doi.org/10.1016/j.envres.2021.111890" TargetMode="External" /><Relationship Type="http://schemas.openxmlformats.org/officeDocument/2006/relationships/hyperlink" Id="rId67" Target="https://doi.org/10.1016/j.neuro.2019.06.006" TargetMode="External" /><Relationship Type="http://schemas.openxmlformats.org/officeDocument/2006/relationships/hyperlink" Id="rId109" Target="https://doi.org/10.1016/j.neuropsychologia.2003.12.012" TargetMode="External" /><Relationship Type="http://schemas.openxmlformats.org/officeDocument/2006/relationships/hyperlink" Id="rId73" Target="https://doi.org/10.1016/j.ntt.2023.107161" TargetMode="External" /><Relationship Type="http://schemas.openxmlformats.org/officeDocument/2006/relationships/hyperlink" Id="rId75" Target="https://doi.org/10.1016/j.scitotenv.2018.01.125" TargetMode="External" /><Relationship Type="http://schemas.openxmlformats.org/officeDocument/2006/relationships/hyperlink" Id="rId63" Target="https://doi.org/10.1038/nrendo.2016.186" TargetMode="External" /><Relationship Type="http://schemas.openxmlformats.org/officeDocument/2006/relationships/hyperlink" Id="rId81" Target="https://doi.org/10.1038/nrn2639" TargetMode="External" /><Relationship Type="http://schemas.openxmlformats.org/officeDocument/2006/relationships/hyperlink" Id="rId119" Target="https://doi.org/10.1080/01621459.2023.2213485" TargetMode="External" /><Relationship Type="http://schemas.openxmlformats.org/officeDocument/2006/relationships/hyperlink" Id="rId79" Target="https://doi.org/10.1093/aje/kwad198" TargetMode="External" /><Relationship Type="http://schemas.openxmlformats.org/officeDocument/2006/relationships/hyperlink" Id="rId95" Target="https://doi.org/10.1093/aje/kwp211" TargetMode="External" /><Relationship Type="http://schemas.openxmlformats.org/officeDocument/2006/relationships/hyperlink" Id="rId93" Target="https://doi.org/10.1093/ije/dyl170" TargetMode="External" /><Relationship Type="http://schemas.openxmlformats.org/officeDocument/2006/relationships/hyperlink" Id="rId89" Target="https://doi.org/10.1093/ije/dyr054" TargetMode="External" /><Relationship Type="http://schemas.openxmlformats.org/officeDocument/2006/relationships/hyperlink" Id="rId85" Target="https://doi.org/10.1093/ije/dys112" TargetMode="External" /><Relationship Type="http://schemas.openxmlformats.org/officeDocument/2006/relationships/hyperlink" Id="rId87" Target="https://doi.org/10.1093/ije/dyv151" TargetMode="External" /><Relationship Type="http://schemas.openxmlformats.org/officeDocument/2006/relationships/hyperlink" Id="rId99" Target="https://doi.org/10.1093/ije/dyw341" TargetMode="External" /><Relationship Type="http://schemas.openxmlformats.org/officeDocument/2006/relationships/hyperlink" Id="rId55" Target="https://doi.org/10.1111/andr.12183" TargetMode="External" /><Relationship Type="http://schemas.openxmlformats.org/officeDocument/2006/relationships/hyperlink" Id="rId97" Target="https://doi.org/10.1136/bmjopen-2017-021311" TargetMode="External" /><Relationship Type="http://schemas.openxmlformats.org/officeDocument/2006/relationships/hyperlink" Id="rId83" Target="https://doi.org/10.1289/ehp.1307204" TargetMode="External" /><Relationship Type="http://schemas.openxmlformats.org/officeDocument/2006/relationships/hyperlink" Id="rId51" Target="https://doi.org/10.1289/ehp.1409472" TargetMode="External" /><Relationship Type="http://schemas.openxmlformats.org/officeDocument/2006/relationships/hyperlink" Id="rId111" Target="https://doi.org/10.1371/journal.pmed.1001792" TargetMode="External" /><Relationship Type="http://schemas.openxmlformats.org/officeDocument/2006/relationships/hyperlink" Id="rId49" Target="https://doi.org/10.1371/journal.pone.0131910" TargetMode="External" /><Relationship Type="http://schemas.openxmlformats.org/officeDocument/2006/relationships/hyperlink" Id="rId45" Target="https://doi.org/10.1542/peds.2009-3058" TargetMode="External" /><Relationship Type="http://schemas.openxmlformats.org/officeDocument/2006/relationships/hyperlink" Id="rId126" Target="https://doi.org/10.18637/jss.v011.i10" TargetMode="External" /><Relationship Type="http://schemas.openxmlformats.org/officeDocument/2006/relationships/hyperlink" Id="rId113" Target="https://doi.org/10.18637/jss.v074.i07" TargetMode="External" /><Relationship Type="http://schemas.openxmlformats.org/officeDocument/2006/relationships/hyperlink" Id="rId128" Target="https://doi.org/10.18637/jss.v095.i01" TargetMode="External" /><Relationship Type="http://schemas.openxmlformats.org/officeDocument/2006/relationships/hyperlink" Id="rId115" Target="https://doi.org/10.21105/joss.03139" TargetMode="External" /><Relationship Type="http://schemas.openxmlformats.org/officeDocument/2006/relationships/hyperlink" Id="rId71" Target="https://doi.org/10.21203/rs.3.rs-2565914/v1" TargetMode="External" /><Relationship Type="http://schemas.openxmlformats.org/officeDocument/2006/relationships/hyperlink" Id="rId122" Target="https://doi.org/10.2139/ssrn.3605606" TargetMode="External" /><Relationship Type="http://schemas.openxmlformats.org/officeDocument/2006/relationships/hyperlink" Id="rId91" Target="https://doi.org/10.3390/ijerph6031282" TargetMode="External" /><Relationship Type="http://schemas.openxmlformats.org/officeDocument/2006/relationships/hyperlink" Id="rId101" Target="https://github.com/r-causal/ggdag" TargetMode="External" /><Relationship Type="http://schemas.openxmlformats.org/officeDocument/2006/relationships/hyperlink" Id="rId124" Target="https://marginaleffec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neurodevelopment: A study based on the parametric g-formula</dc:title>
  <dc:creator/>
  <cp:keywords/>
  <dcterms:created xsi:type="dcterms:W3CDTF">2024-01-02T13:39:23Z</dcterms:created>
  <dcterms:modified xsi:type="dcterms:W3CDTF">2024-01-02T13:39:23Z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ama11.csl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