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7.png" ContentType="image/png"/>
  <Override PartName="/word/media/rId202.png" ContentType="image/png"/>
  <Override PartName="/word/media/rId146.png" ContentType="image/png"/>
  <Override PartName="/word/media/rId208.png" ContentType="image/png"/>
  <Override PartName="/word/media/rId150.png" ContentType="image/png"/>
  <Override PartName="/word/media/rId212.png" ContentType="image/png"/>
  <Override PartName="/word/media/rId154.png" ContentType="image/png"/>
  <Override PartName="/word/media/rId216.png" ContentType="image/png"/>
  <Override PartName="/word/media/rId1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Epidemiological 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using data from the Human Early-Life Exposome (HELIX) cohort. We used the parametric g-formula to estimate effects between EDCs, glucocorticosteroids, and hit reaction time standard error (HRT-SE), a measure of efficiency from the Attention Network Test (ANT), and tested for possible effect modification by sex. We observed a positive MC for exposure increases from the 10th to the 90th percentile for methyl-paraben (marginal contrast (MC) and</w:t>
      </w:r>
      <w:r>
        <w:t xml:space="preserve"> </w:t>
      </w:r>
      <m:oMath>
        <m:r>
          <m:t>95</m:t>
        </m:r>
        <m:r>
          <m:rPr>
            <m:sty m:val="p"/>
          </m:rPr>
          <m:t>%</m:t>
        </m:r>
      </m:oMath>
      <w:r>
        <w:t xml:space="preserve"> </w:t>
      </w:r>
      <w:r>
        <w:t xml:space="preserve">confidence interval (CI):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on HRT-SE. Several EDCs were also associated with a positive MC for cortisone, cortisol, and corticosterone production. Increased levels of the glucocorticosteroids had no effect on HRT-SE, although we found a possible effect modification by sex. Our results suggest that multiple EDCs might interfere with inattentiveness outcomes in children and with the homeostasis of the HPA axis.</w:t>
      </w:r>
    </w:p>
    <w:p>
      <w:r>
        <w:br w:type="page"/>
      </w:r>
    </w:p>
    <w:p>
      <w:pPr>
        <w:pStyle w:val="BodyText"/>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Multiple endocrine disrupting chemicals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childhood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 and few organophosphate pesticide (OP pesticide) metabolites measured</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been associated to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(MCs), in children of a large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S1</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S2</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r>
        <w:t xml:space="preserve"> </w:t>
      </w:r>
      <w:r>
        <w:t xml:space="preserve">(</w:t>
      </w:r>
      <w:hyperlink w:anchor="ref-RuedaFanMcCandliss:2004">
        <w:r>
          <w:rPr>
            <w:rStyle w:val="Hyperlink"/>
          </w:rPr>
          <w:t xml:space="preserve">33</w:t>
        </w:r>
      </w:hyperlink>
      <w:r>
        <w:t xml:space="preserve">)</w:t>
      </w:r>
      <w:r>
        <w:t xml:space="preserve">, which provides a measure of efficiency in three different functions of attention: alerting, orienting, and executive attention.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hit reaction time standard error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used to adjust for possible dilution effects.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3</w:t>
        </w:r>
      </w:hyperlink>
      <w:r>
        <w:t xml:space="preserve">, </w:t>
      </w:r>
      <w:hyperlink w:anchor="supptbl-codebook-2">
        <w:r>
          <w:rPr>
            <w:rStyle w:val="Hyperlink"/>
          </w:rPr>
          <w:t xml:space="preserve">4</w:t>
        </w:r>
      </w:hyperlink>
      <w:r>
        <w:t xml:space="preserve">, </w:t>
      </w:r>
      <w:hyperlink w:anchor="supptbl-codebook-3">
        <w:r>
          <w:rPr>
            <w:rStyle w:val="Hyperlink"/>
          </w:rPr>
          <w:t xml:space="preserve">5</w:t>
        </w:r>
      </w:hyperlink>
      <w:r>
        <w:t xml:space="preserve">.</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Hyper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total cortisol, cortisone, and corticosterone production were expressed in nanograms per millilitre (ng/ml).</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 (g/L).</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43</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44</w:t>
        </w:r>
      </w:hyperlink>
      <w:r>
        <w:t xml:space="preserve">,</w:t>
      </w:r>
      <w:hyperlink w:anchor="ref-ZeileisKollGraham:2020">
        <w:r>
          <w:rPr>
            <w:rStyle w:val="Hyperlink"/>
          </w:rPr>
          <w:t xml:space="preserve">45</w:t>
        </w:r>
      </w:hyperlink>
      <w:r>
        <w:t xml:space="preserve">)</w:t>
      </w:r>
      <w:r>
        <w:t xml:space="preserve">.</w:t>
      </w:r>
      <w:r>
        <w:t xml:space="preserve"> </w:t>
      </w:r>
      <w:r>
        <w:t xml:space="preserve">For each outcome, we report the results as differences between MCs.</w:t>
      </w:r>
    </w:p>
    <w:p>
      <w:pPr>
        <w:pStyle w:val="BodyText"/>
      </w:pPr>
      <w:r>
        <w:t xml:space="preserve">The R code to reproduce analyses and results is available online (https://github.com/lorenzoFabbri/paper-helixSC-neuro).</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 We further tested for significance of the difference between the MCs of females and males.</w:t>
      </w:r>
    </w:p>
    <w:bookmarkEnd w:id="30"/>
    <w:bookmarkEnd w:id="31"/>
    <w:bookmarkEnd w:id="32"/>
    <w:bookmarkStart w:id="34" w:name="sec-res"/>
    <w:p>
      <w:pPr>
        <w:pStyle w:val="Heading1"/>
      </w:pPr>
      <w:r>
        <w:t xml:space="preserve">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S7</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girls.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S8</w:t>
        </w:r>
      </w:hyperlink>
      <w:r>
        <w:t xml:space="preserve">. Supplementary Figures</w:t>
      </w:r>
      <w:r>
        <w:t xml:space="preserve"> </w:t>
      </w:r>
      <w:hyperlink w:anchor="suppfig-desc-chems">
        <w:r>
          <w:rPr>
            <w:rStyle w:val="Hyperlink"/>
          </w:rPr>
          <w:t xml:space="preserve">2</w:t>
        </w:r>
      </w:hyperlink>
      <w:r>
        <w:t xml:space="preserve"> </w:t>
      </w:r>
      <w:r>
        <w:t xml:space="preserve">and</w:t>
      </w:r>
      <w:r>
        <w:t xml:space="preserve"> </w:t>
      </w:r>
      <w:hyperlink w:anchor="suppfig-desc-mets">
        <w:r>
          <w:rPr>
            <w:rStyle w:val="Hyperlink"/>
          </w:rPr>
          <w:t xml:space="preserve">3</w:t>
        </w:r>
      </w:hyperlink>
      <w:r>
        <w:t xml:space="preserve"> </w:t>
      </w:r>
      <w:r>
        <w:t xml:space="preserve">provide information on the measurement classification of the EDCs and glucocorticosteroids by cohort, respectively.</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9</w:t>
        </w:r>
      </w:hyperlink>
      <w:r>
        <w:t xml:space="preserve">, </w:t>
      </w:r>
      <w:hyperlink w:anchor="supptbl-balance-2">
        <w:r>
          <w:rPr>
            <w:rStyle w:val="Hyperlink"/>
          </w:rPr>
          <w:t xml:space="preserve">10</w:t>
        </w:r>
      </w:hyperlink>
      <w:r>
        <w:t xml:space="preserve">, </w:t>
      </w:r>
      <w:hyperlink w:anchor="supptbl-balance-3">
        <w:r>
          <w:rPr>
            <w:rStyle w:val="Hyperlink"/>
          </w:rPr>
          <w:t xml:space="preserve">11</w:t>
        </w:r>
      </w:hyperlink>
      <w:r>
        <w:t xml:space="preserve">, while basic summary statistics of the estimated balancing weights are presented in Supplementary Tables</w:t>
      </w:r>
      <w:r>
        <w:t xml:space="preserve"> </w:t>
      </w:r>
      <w:hyperlink w:anchor="supptbl-weights-1">
        <w:r>
          <w:rPr>
            <w:rStyle w:val="Hyperlink"/>
          </w:rPr>
          <w:t xml:space="preserve">12</w:t>
        </w:r>
      </w:hyperlink>
      <w:r>
        <w:t xml:space="preserve">, </w:t>
      </w:r>
      <w:hyperlink w:anchor="supptbl-weights-2">
        <w:r>
          <w:rPr>
            <w:rStyle w:val="Hyperlink"/>
          </w:rPr>
          <w:t xml:space="preserve">13</w:t>
        </w:r>
      </w:hyperlink>
      <w:r>
        <w:t xml:space="preserve">, </w:t>
      </w:r>
      <w:hyperlink w:anchor="supptbl-weights-3">
        <w:r>
          <w:rPr>
            <w:rStyle w:val="Hyperlink"/>
          </w:rPr>
          <w:t xml:space="preserve">14</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MCs of the non-persistent EDCs on HRT-SE. For most EDCs, a cohort-specific decrease in the levels of the exposures from the 90th to the 10th percentiles was associated with a positive MC, indicating an increase in the values of HRT-SE. Most of the confidence interval (CIs) included the null effect, though. Statistically significant effects were observed for the phenol MEPA (MC and</w:t>
      </w:r>
      <w:r>
        <w:t xml:space="preserve"> </w:t>
      </w:r>
      <m:oMath>
        <m:r>
          <m:t>95</m:t>
        </m:r>
        <m:r>
          <m:rPr>
            <m:sty m:val="p"/>
          </m:rPr>
          <m:t>%</m:t>
        </m:r>
      </m:oMath>
      <w:r>
        <w:t xml:space="preserve"> </w:t>
      </w:r>
      <w:r>
        <w:t xml:space="preserve">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The OP pesticide DETP was negatively associated with HRT-SE (MC and</w:t>
      </w:r>
      <w:r>
        <w:t xml:space="preserve"> </w:t>
      </w:r>
      <m:oMath>
        <m:r>
          <m:t>95</m:t>
        </m:r>
        <m:r>
          <m:rPr>
            <m:sty m:val="p"/>
          </m:rPr>
          <m:t>%</m:t>
        </m:r>
      </m:oMath>
      <w:r>
        <w:t xml:space="preserve"> </w:t>
      </w:r>
      <w:r>
        <w:t xml:space="preserve">CI: -0.026 (-0.054, 0.001)).</w:t>
      </w:r>
    </w:p>
    <w:p>
      <w:pPr>
        <w:pStyle w:val="BodyText"/>
      </w:pPr>
      <w:hyperlink w:anchor="fig-marginal-2">
        <w:r>
          <w:rPr>
            <w:rStyle w:val="Hyperlink"/>
          </w:rPr>
          <w:t xml:space="preserve">Figure 2</w:t>
        </w:r>
      </w:hyperlink>
      <w:r>
        <w:t xml:space="preserve"> </w:t>
      </w:r>
      <w:r>
        <w:t xml:space="preserve">presents the forest plot for the MCs of the non-persistent EDCs on total cortisone, cortisol, and corticosterone production. For most EDCs, a cohort-specific decrease in the levels of the exposures from the 90th to the 10th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and</w:t>
      </w:r>
      <w:r>
        <w:t xml:space="preserve"> </w:t>
      </w:r>
      <m:oMath>
        <m:r>
          <m:t>95</m:t>
        </m:r>
        <m:r>
          <m:rPr>
            <m:sty m:val="p"/>
          </m:rPr>
          <m:t>%</m:t>
        </m:r>
      </m:oMath>
      <w:r>
        <w:t xml:space="preserve"> </w:t>
      </w:r>
      <w:r>
        <w:t xml:space="preserve">CI: 0.264 (0.131, 0.397); cortisol production, MC and</w:t>
      </w:r>
      <w:r>
        <w:t xml:space="preserve"> </w:t>
      </w:r>
      <m:oMath>
        <m:r>
          <m:t>95</m:t>
        </m:r>
        <m:r>
          <m:rPr>
            <m:sty m:val="p"/>
          </m:rPr>
          <m:t>%</m:t>
        </m:r>
      </m:oMath>
      <w:r>
        <w:t xml:space="preserve"> </w:t>
      </w:r>
      <w:r>
        <w:t xml:space="preserve">CI: 0.275 (0.105, 0.444); corticosterone production, MC and</w:t>
      </w:r>
      <w:r>
        <w:t xml:space="preserve"> </w:t>
      </w:r>
      <m:oMath>
        <m:r>
          <m:t>95</m:t>
        </m:r>
        <m:r>
          <m:rPr>
            <m:sty m:val="p"/>
          </m:rPr>
          <m:t>%</m:t>
        </m:r>
      </m:oMath>
      <w:r>
        <w:t xml:space="preserve"> </w:t>
      </w:r>
      <w:r>
        <w:t xml:space="preserve">CI: 0.285 (0.105, 0.466)).</w:t>
      </w:r>
    </w:p>
    <w:p>
      <w:pPr>
        <w:pStyle w:val="BodyText"/>
      </w:pPr>
      <w:hyperlink w:anchor="fig-marginal-3">
        <w:r>
          <w:rPr>
            <w:rStyle w:val="Hyperlink"/>
          </w:rPr>
          <w:t xml:space="preserve">Figure 3</w:t>
        </w:r>
      </w:hyperlink>
      <w:r>
        <w:t xml:space="preserve"> </w:t>
      </w:r>
      <w:r>
        <w:t xml:space="preserve">presents the forest plot for the MCs of the glucocorticosteroids on HRT-SE. All MCs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15</w:t>
        </w:r>
      </w:hyperlink>
      <w:r>
        <w:t xml:space="preserve">, </w:t>
      </w:r>
      <w:hyperlink w:anchor="supptbl-weights-2sa">
        <w:r>
          <w:rPr>
            <w:rStyle w:val="Hyperlink"/>
          </w:rPr>
          <w:t xml:space="preserve">16</w:t>
        </w:r>
      </w:hyperlink>
      <w:r>
        <w:t xml:space="preserve">, </w:t>
      </w:r>
      <w:hyperlink w:anchor="supptbl-weights-3sa">
        <w:r>
          <w:rPr>
            <w:rStyle w:val="Hyperlink"/>
          </w:rPr>
          <w:t xml:space="preserve">17</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a hypothesis test for the difference between estimates of the MCs for females and males, for the EDCs on the glucocorticosteroids and HRT-SE. For HRT-SE, significant differences were present for the phenol OXBE (MC and</w:t>
      </w:r>
      <w:r>
        <w:t xml:space="preserve"> </w:t>
      </w:r>
      <m:oMath>
        <m:r>
          <m:t>95</m:t>
        </m:r>
        <m:r>
          <m:rPr>
            <m:sty m:val="p"/>
          </m:rPr>
          <m:t>%</m:t>
        </m:r>
      </m:oMath>
      <w:r>
        <w:t xml:space="preserve"> </w:t>
      </w:r>
      <w:r>
        <w:t xml:space="preserve">CI: -0.032 (-0.059, -0.004)) and the phthalate metabolites MEP (MC and</w:t>
      </w:r>
      <w:r>
        <w:t xml:space="preserve"> </w:t>
      </w:r>
      <m:oMath>
        <m:r>
          <m:t>95</m:t>
        </m:r>
        <m:r>
          <m:rPr>
            <m:sty m:val="p"/>
          </m:rPr>
          <m:t>%</m:t>
        </m:r>
      </m:oMath>
      <w:r>
        <w:t xml:space="preserve"> </w:t>
      </w:r>
      <w:r>
        <w:t xml:space="preserve">CI: 0.092 (0.017, 0.167)) and MbZP (MC and</w:t>
      </w:r>
      <w:r>
        <w:t xml:space="preserve"> </w:t>
      </w:r>
      <m:oMath>
        <m:r>
          <m:t>95</m:t>
        </m:r>
        <m:r>
          <m:rPr>
            <m:sty m:val="p"/>
          </m:rPr>
          <m:t>%</m:t>
        </m:r>
      </m:oMath>
      <w:r>
        <w:t xml:space="preserve"> </w:t>
      </w:r>
      <w:r>
        <w:t xml:space="preserve">CI: 0.063 (0.002, 0.124)). For the glucocorticosteroids,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0.211 (0.088, 0.333)) and DETP (corticosterone production, (MC and</w:t>
      </w:r>
      <w:r>
        <w:t xml:space="preserve"> </w:t>
      </w:r>
      <m:oMath>
        <m:r>
          <m:t>95</m:t>
        </m:r>
        <m:r>
          <m:rPr>
            <m:sty m:val="p"/>
          </m:rPr>
          <m:t>%</m:t>
        </m:r>
      </m:oMath>
      <w:r>
        <w:t xml:space="preserve"> </w:t>
      </w:r>
      <w:r>
        <w:t xml:space="preserve">CI: 0.233 (0.033, 0.433)); cortisone production, (MC and</w:t>
      </w:r>
      <w:r>
        <w:t xml:space="preserve"> </w:t>
      </w:r>
      <m:oMath>
        <m:r>
          <m:t>95</m:t>
        </m:r>
        <m:r>
          <m:rPr>
            <m:sty m:val="p"/>
          </m:rPr>
          <m:t>%</m:t>
        </m:r>
      </m:oMath>
      <w:r>
        <w:t xml:space="preserve"> </w:t>
      </w:r>
      <w:r>
        <w:t xml:space="preserve">CI: 0.214 (0.048, 0.381))). The forest plots of the individual MCs are presented in Supplementary Figures</w:t>
      </w:r>
      <w:r>
        <w:t xml:space="preserve"> </w:t>
      </w:r>
      <w:hyperlink w:anchor="suppfig-marginal-1sa">
        <w:r>
          <w:rPr>
            <w:rStyle w:val="Hyperlink"/>
          </w:rPr>
          <w:t xml:space="preserve">4</w:t>
        </w:r>
      </w:hyperlink>
      <w:r>
        <w:t xml:space="preserve"> </w:t>
      </w:r>
      <w:r>
        <w:t xml:space="preserve">and</w:t>
      </w:r>
      <w:r>
        <w:t xml:space="preserve"> </w:t>
      </w:r>
      <w:hyperlink w:anchor="suppfig-marginal-2sa">
        <w:r>
          <w:rPr>
            <w:rStyle w:val="Hyperlink"/>
          </w:rPr>
          <w:t xml:space="preserve">5</w:t>
        </w:r>
      </w:hyperlink>
      <w:r>
        <w:t xml:space="preserve">.</w:t>
      </w:r>
    </w:p>
    <w:p>
      <w:pPr>
        <w:pStyle w:val="BodyText"/>
      </w:pPr>
      <w:hyperlink w:anchor="tbl-hypothesis-3">
        <w:r>
          <w:rPr>
            <w:rStyle w:val="Hyperlink"/>
          </w:rPr>
          <w:t xml:space="preserve">Table 5</w:t>
        </w:r>
      </w:hyperlink>
      <w:r>
        <w:t xml:space="preserve"> </w:t>
      </w:r>
      <w:r>
        <w:t xml:space="preserve">presents the results of a hypothesis test for the difference between estimates of the MCs for females and males, for the glucocorticosteroids on HRT-SE. Significant differences were present for cortisone production (MC and</w:t>
      </w:r>
      <w:r>
        <w:t xml:space="preserve"> </w:t>
      </w:r>
      <m:oMath>
        <m:r>
          <m:t>95</m:t>
        </m:r>
        <m:r>
          <m:rPr>
            <m:sty m:val="p"/>
          </m:rPr>
          <m:t>%</m:t>
        </m:r>
      </m:oMath>
      <w:r>
        <w:t xml:space="preserve"> </w:t>
      </w:r>
      <w:r>
        <w:t xml:space="preserve">CI: -0.135 (-0.241, -0.028)) and corticosterone production (MC and</w:t>
      </w:r>
      <w:r>
        <w:t xml:space="preserve"> </w:t>
      </w:r>
      <m:oMath>
        <m:r>
          <m:t>95</m:t>
        </m:r>
        <m:r>
          <m:rPr>
            <m:sty m:val="p"/>
          </m:rPr>
          <m:t>%</m:t>
        </m:r>
      </m:oMath>
      <w:r>
        <w:t xml:space="preserve"> </w:t>
      </w:r>
      <w:r>
        <w:t xml:space="preserve">CI: -0.13 (-0.253, -0.006)).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Hyperlink"/>
          </w:rPr>
          <w:t xml:space="preserve">2</w:t>
        </w:r>
      </w:hyperlink>
      <w:r>
        <w:t xml:space="preserve">)</w:t>
      </w:r>
      <w:r>
        <w:t xml:space="preserve">, little is still known about childhood exposure. In this study, consisting of 1,297 children from 6 European birth cohorts, we observed that short-term childhood exposure to non-persistent EDCs had negative effects on HRT-SE and total production of cortisol, cortisone, and corticosterone, although the majority of the CIs included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BodyText"/>
      </w:pPr>
      <w:r>
        <w:t xml:space="preserve">We are not aware of prior studies specifically investigating the effects of exposure to EDCs in relation to HRT-SE. The literature on EDCs and neurodevelopment in children has mostly focused on OP pesticides</w:t>
      </w:r>
      <w:r>
        <w:t xml:space="preserve"> </w:t>
      </w:r>
      <w:r>
        <w:t xml:space="preserve">(</w:t>
      </w:r>
      <w:hyperlink w:anchor="ref-BouchardBellingerWright:2010">
        <w:r>
          <w:rPr>
            <w:rStyle w:val="Hyperlink"/>
          </w:rPr>
          <w:t xml:space="preserve">3</w:t>
        </w:r>
      </w:hyperlink>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YuDuChiou:2016">
        <w:r>
          <w:rPr>
            <w:rStyle w:val="Hyperlink"/>
          </w:rPr>
          <w:t xml:space="preserve">8</w:t>
        </w:r>
      </w:hyperlink>
      <w:r>
        <w:t xml:space="preserve">)</w:t>
      </w:r>
      <w:r>
        <w:t xml:space="preserve">,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Hyperlink"/>
          </w:rPr>
          <w:t xml:space="preserve">3</w:t>
        </w:r>
      </w:hyperlink>
      <w:r>
        <w:t xml:space="preserve">,</w:t>
      </w:r>
      <w:hyperlink w:anchor="ref-TewarAuingerBraun:2016">
        <w:r>
          <w:rPr>
            <w:rStyle w:val="Hyperlink"/>
          </w:rPr>
          <w:t xml:space="preserve">7</w:t>
        </w:r>
      </w:hyperlink>
      <w:r>
        <w:t xml:space="preserve">,</w:t>
      </w:r>
      <w:hyperlink w:anchor="ref-YuDuChiou:2016">
        <w:r>
          <w:rPr>
            <w:rStyle w:val="Hyperlink"/>
          </w:rPr>
          <w:t xml:space="preserve">8</w:t>
        </w:r>
      </w:hyperlink>
      <w:r>
        <w:t xml:space="preserve">,</w:t>
      </w:r>
      <w:hyperlink w:anchor="ref-LiZhangKuang:2018">
        <w:r>
          <w:rPr>
            <w:rStyle w:val="Hyperlink"/>
          </w:rPr>
          <w:t xml:space="preserve">13</w:t>
        </w:r>
      </w:hyperlink>
      <w:r>
        <w:t xml:space="preserve">)</w:t>
      </w:r>
      <w:r>
        <w:t xml:space="preserve">, and intelligence scales</w:t>
      </w:r>
      <w:r>
        <w:t xml:space="preserve"> </w:t>
      </w:r>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Few studies have looked into different classes of EDCs</w:t>
      </w:r>
      <w:r>
        <w:t xml:space="preserve"> </w:t>
      </w:r>
      <w:r>
        <w:t xml:space="preserve">(</w:t>
      </w:r>
      <w:hyperlink w:anchor="ref-ShoaffCoullWeuve:2020">
        <w:r>
          <w:rPr>
            <w:rStyle w:val="Hyperlink"/>
          </w:rPr>
          <w:t xml:space="preserve">15</w:t>
        </w:r>
      </w:hyperlink>
      <w:r>
        <w:t xml:space="preserve"> </w:t>
      </w:r>
      <w:r>
        <w:t xml:space="preserve">in relation with the Conners Attention Deficit Scale and the Behavior Assessment System for Children,</w:t>
      </w:r>
      <w:hyperlink w:anchor="ref-OhKimKannan:2023">
        <w:r>
          <w:rPr>
            <w:rStyle w:val="Hyperlink"/>
          </w:rPr>
          <w:t xml:space="preserve">16</w:t>
        </w:r>
      </w:hyperlink>
      <w:r>
        <w:t xml:space="preserve"> </w:t>
      </w:r>
      <w:r>
        <w:t xml:space="preserve">in relation with ADHD symptoms)</w:t>
      </w:r>
      <w:r>
        <w:t xml:space="preserve">. Overall, and consistent with our results, these studies seem to provide further evidence of the adverse effects of several EDCs on neurodevelopment in children. While not all these studies have investigated effect modification by sex, it seems that these adverse effects are stronger in males. A major limitation of these studies is the reliance on spot urine samples, that might not be representative of long-term exposures.</w:t>
      </w:r>
    </w:p>
    <w:p>
      <w:pPr>
        <w:pStyle w:val="BodyText"/>
      </w:pPr>
      <w:r>
        <w:t xml:space="preserve">Our results are consistent with prior epidemiological research that associated exposure to certain EDCs with higher levels of cortisol</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Hyperlink"/>
          </w:rPr>
          <w:t xml:space="preserve">19</w:t>
        </w:r>
      </w:hyperlink>
      <w:r>
        <w:t xml:space="preserve">)</w:t>
      </w:r>
      <w:r>
        <w:t xml:space="preserve"> </w:t>
      </w:r>
      <w:r>
        <w:t xml:space="preserve">and</w:t>
      </w:r>
      <w:r>
        <w:t xml:space="preserve"> </w:t>
      </w:r>
      <w:r>
        <w:t xml:space="preserve">(</w:t>
      </w:r>
      <w:hyperlink w:anchor="ref-KimLeeMoon:2018">
        <w:r>
          <w:rPr>
            <w:rStyle w:val="Hyper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Hyperlink"/>
          </w:rPr>
          <w:t xml:space="preserve">19</w:t>
        </w:r>
      </w:hyperlink>
      <w:r>
        <w:t xml:space="preserve">)</w:t>
      </w:r>
      <w:r>
        <w:t xml:space="preserve"> </w:t>
      </w:r>
      <w:r>
        <w:t xml:space="preserve">and hair</w:t>
      </w:r>
      <w:r>
        <w:t xml:space="preserve"> </w:t>
      </w:r>
      <w:r>
        <w:t xml:space="preserve">(</w:t>
      </w:r>
      <w:hyperlink w:anchor="ref-SearsLiuLanphear:2023">
        <w:r>
          <w:rPr>
            <w:rStyle w:val="Hyper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 Nonetheless, previous toxicological studies provide evidence for the inhibition by phthalates of human 11</w:t>
      </w:r>
      <m:oMath>
        <m:r>
          <m:t>β</m:t>
        </m:r>
      </m:oMath>
      <w:r>
        <w:t xml:space="preserve">-hydroxysteroid dehydrogenase 2 (11</w:t>
      </w:r>
      <m:oMath>
        <m:r>
          <m:t>β</m:t>
        </m:r>
      </m:oMath>
      <w:r>
        <w:t xml:space="preserve">-HSD2) activity, responsible for the conversion of active cortisol into inactive cortisone</w:t>
      </w:r>
      <w:r>
        <w:t xml:space="preserve"> </w:t>
      </w:r>
      <w:r>
        <w:t xml:space="preserve">(</w:t>
      </w:r>
      <w:hyperlink w:anchor="ref-ZhaoChuHuang:2010">
        <w:r>
          <w:rPr>
            <w:rStyle w:val="Hyperlink"/>
          </w:rPr>
          <w:t xml:space="preserve">46</w:t>
        </w:r>
      </w:hyperlink>
      <w:r>
        <w:t xml:space="preserve">,</w:t>
      </w:r>
      <w:hyperlink w:anchor="ref-MaLianDong:2011">
        <w:r>
          <w:rPr>
            <w:rStyle w:val="Hyperlink"/>
          </w:rPr>
          <w:t xml:space="preserve">47</w:t>
        </w:r>
      </w:hyperlink>
      <w:r>
        <w:t xml:space="preserve">)</w:t>
      </w:r>
      <w:r>
        <w:t xml:space="preserve">. There is also</w:t>
      </w:r>
      <w:r>
        <w:t xml:space="preserve"> </w:t>
      </w:r>
      <w:r>
        <w:rPr>
          <w:iCs/>
          <w:i/>
        </w:rPr>
        <w:t xml:space="preserve">in silico</w:t>
      </w:r>
      <w:r>
        <w:t xml:space="preserve"> </w:t>
      </w:r>
      <w:r>
        <w:t xml:space="preserve">evidence suggesting that BPA, a phenol, and Triazophos (TAP), a organophosphorus insecticide, can bind to the human glucocorticoid receptor</w:t>
      </w:r>
      <w:r>
        <w:t xml:space="preserve"> </w:t>
      </w:r>
      <w:r>
        <w:t xml:space="preserve">(</w:t>
      </w:r>
      <w:hyperlink w:anchor="ref-PrasanthDivyaSadasivan:2010">
        <w:r>
          <w:rPr>
            <w:rStyle w:val="Hyperlink"/>
          </w:rPr>
          <w:t xml:space="preserve">48</w:t>
        </w:r>
      </w:hyperlink>
      <w:r>
        <w:t xml:space="preserve">,</w:t>
      </w:r>
      <w:hyperlink w:anchor="ref-YangLiRen:2019">
        <w:r>
          <w:rPr>
            <w:rStyle w:val="Hyperlink"/>
          </w:rPr>
          <w:t xml:space="preserve">49</w:t>
        </w:r>
      </w:hyperlink>
      <w:r>
        <w:t xml:space="preserve">)</w:t>
      </w:r>
      <w:r>
        <w:t xml:space="preserve">.</w:t>
      </w:r>
    </w:p>
    <w:p>
      <w:pPr>
        <w:pStyle w:val="BodyText"/>
      </w:pPr>
      <w:r>
        <w:t xml:space="preserve">We are also not aware of prior epidemiological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 While we did find sex-specific evidence of an effect, their clinical relevance is questionable.</w:t>
      </w:r>
    </w:p>
    <w:p>
      <w:pPr>
        <w:pStyle w:val="BodyText"/>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BodyText"/>
      </w:pPr>
      <w:r>
        <w:t xml:space="preserve">Strengths of the present study include the use of pooled urine samples for chemical assessment, since it is known that these specific EDCs have very short half-lives</w:t>
      </w:r>
      <w:r>
        <w:t xml:space="preserve"> </w:t>
      </w:r>
      <w:r>
        <w:t xml:space="preserve">(</w:t>
      </w:r>
      <w:hyperlink w:anchor="ref-CasasBasaganaSakhi:2018">
        <w:r>
          <w:rPr>
            <w:rStyle w:val="Hyperlink"/>
          </w:rPr>
          <w:t xml:space="preserve">50</w:t>
        </w:r>
      </w:hyperlink>
      <w:r>
        <w:t xml:space="preserve">)</w:t>
      </w:r>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MCs.</w:t>
      </w:r>
    </w:p>
    <w:p>
      <w:pPr>
        <w:pStyle w:val="BodyText"/>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35"/>
    <w:bookmarkStart w:id="134" w:name="references"/>
    <w:p>
      <w:pPr>
        <w:pStyle w:val="Heading1"/>
      </w:pPr>
      <w:r>
        <w:t xml:space="preserve">References</w:t>
      </w:r>
    </w:p>
    <w:bookmarkStart w:id="133"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Cs/>
          <w:i/>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Cs/>
          <w:i/>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Cs/>
          <w:i/>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Cs/>
          <w:i/>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Cs/>
          <w:i/>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Cs/>
          <w:i/>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Cs/>
          <w:i/>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Cs/>
          <w:i/>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6"/>
    <w:bookmarkStart w:id="118" w:name="ref-Arel-Bundock:2023"/>
    <w:p>
      <w:pPr>
        <w:pStyle w:val="Bibliography"/>
      </w:pPr>
      <w:r>
        <w:t xml:space="preserve">43.</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7">
        <w:r>
          <w:rPr>
            <w:rStyle w:val="Hyperlink"/>
          </w:rPr>
          <w:t xml:space="preserve">https://marginaleffects.com/</w:t>
        </w:r>
      </w:hyperlink>
      <w:r>
        <w:t xml:space="preserve">)</w:t>
      </w:r>
    </w:p>
    <w:bookmarkEnd w:id="118"/>
    <w:bookmarkStart w:id="120" w:name="ref-Zeileis:2004"/>
    <w:p>
      <w:pPr>
        <w:pStyle w:val="Bibliography"/>
      </w:pPr>
      <w:r>
        <w:t xml:space="preserve">44.</w:t>
      </w:r>
      <w:r>
        <w:t xml:space="preserve"> </w:t>
      </w:r>
      <w:r>
        <w:t xml:space="preserve">	</w:t>
      </w:r>
      <w:r>
        <w:t xml:space="preserve">Zeileis A.</w:t>
      </w:r>
      <w:r>
        <w:t xml:space="preserve"> </w:t>
      </w:r>
      <w:hyperlink r:id="rId119">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Cs/>
          <w:i/>
        </w:rPr>
        <w:t xml:space="preserve">Journal of Statistical Software</w:t>
      </w:r>
      <w:r>
        <w:t xml:space="preserve">. 2004;11(10):1–17.</w:t>
      </w:r>
      <w:r>
        <w:t xml:space="preserve"> </w:t>
      </w:r>
    </w:p>
    <w:bookmarkEnd w:id="120"/>
    <w:bookmarkStart w:id="122" w:name="ref-ZeileisKollGraham:2020"/>
    <w:p>
      <w:pPr>
        <w:pStyle w:val="Bibliography"/>
      </w:pPr>
      <w:r>
        <w:t xml:space="preserve">45.</w:t>
      </w:r>
      <w:r>
        <w:t xml:space="preserve"> </w:t>
      </w:r>
      <w:r>
        <w:t xml:space="preserve">	</w:t>
      </w:r>
      <w:r>
        <w:t xml:space="preserve">Zeileis A, Köll S, Graham N.</w:t>
      </w:r>
      <w:r>
        <w:t xml:space="preserve"> </w:t>
      </w:r>
      <w:hyperlink r:id="rId121">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Cs/>
          <w:i/>
        </w:rPr>
        <w:t xml:space="preserve">Journal of Statistical Software</w:t>
      </w:r>
      <w:r>
        <w:t xml:space="preserve">. 2020;95(1):1–36.</w:t>
      </w:r>
      <w:r>
        <w:t xml:space="preserve"> </w:t>
      </w:r>
    </w:p>
    <w:bookmarkEnd w:id="122"/>
    <w:bookmarkStart w:id="124" w:name="ref-ZhaoChuHuang:2010"/>
    <w:p>
      <w:pPr>
        <w:pStyle w:val="Bibliography"/>
      </w:pPr>
      <w:r>
        <w:t xml:space="preserve">46.</w:t>
      </w:r>
      <w:r>
        <w:t xml:space="preserve"> </w:t>
      </w:r>
      <w:r>
        <w:t xml:space="preserve">	</w:t>
      </w:r>
      <w:r>
        <w:t xml:space="preserve">Zhao B, Chu Y, Huang Y, et al. Structure-dependent inhibition of human and rat 11β-hydroxysteroid dehydrogenase 2 activities by phthalates.</w:t>
      </w:r>
      <w:r>
        <w:t xml:space="preserve"> </w:t>
      </w:r>
      <w:r>
        <w:rPr>
          <w:iCs/>
          <w:i/>
        </w:rPr>
        <w:t xml:space="preserve">Chemico-Biological Interactions</w:t>
      </w:r>
      <w:r>
        <w:t xml:space="preserve"> </w:t>
      </w:r>
      <w:r>
        <w:t xml:space="preserve">[electronic article]. 2010;183(1):79–84. (</w:t>
      </w:r>
      <w:hyperlink r:id="rId123">
        <w:r>
          <w:rPr>
            <w:rStyle w:val="Hyperlink"/>
          </w:rPr>
          <w:t xml:space="preserve">https://www.sciencedirect.com/science/article/pii/S0009279709003950</w:t>
        </w:r>
      </w:hyperlink>
      <w:r>
        <w:t xml:space="preserve">). (Accessed February 13, 2024)</w:t>
      </w:r>
    </w:p>
    <w:bookmarkEnd w:id="124"/>
    <w:bookmarkStart w:id="126" w:name="ref-MaLianDong:2011"/>
    <w:p>
      <w:pPr>
        <w:pStyle w:val="Bibliography"/>
      </w:pPr>
      <w:r>
        <w:t xml:space="preserve">47.</w:t>
      </w:r>
      <w:r>
        <w:t xml:space="preserve"> </w:t>
      </w:r>
      <w:r>
        <w:t xml:space="preserve">	</w:t>
      </w:r>
      <w:r>
        <w:t xml:space="preserve">Ma X, Lian Q-Q, Dong Q, et al. Environmental inhibitors of 11β-hydroxysteroid dehydrogenase type 2.</w:t>
      </w:r>
      <w:r>
        <w:t xml:space="preserve"> </w:t>
      </w:r>
      <w:r>
        <w:rPr>
          <w:iCs/>
          <w:i/>
        </w:rPr>
        <w:t xml:space="preserve">Toxicology</w:t>
      </w:r>
      <w:r>
        <w:t xml:space="preserve"> </w:t>
      </w:r>
      <w:r>
        <w:t xml:space="preserve">[electronic article]. 2011;285(3):83–89. (</w:t>
      </w:r>
      <w:hyperlink r:id="rId125">
        <w:r>
          <w:rPr>
            <w:rStyle w:val="Hyperlink"/>
          </w:rPr>
          <w:t xml:space="preserve">https://www.sciencedirect.com/science/article/pii/S0300483X11001466</w:t>
        </w:r>
      </w:hyperlink>
      <w:r>
        <w:t xml:space="preserve">). (Accessed February 13, 2024)</w:t>
      </w:r>
    </w:p>
    <w:bookmarkEnd w:id="126"/>
    <w:bookmarkStart w:id="128" w:name="ref-PrasanthDivyaSadasivan:2010"/>
    <w:p>
      <w:pPr>
        <w:pStyle w:val="Bibliography"/>
      </w:pPr>
      <w:r>
        <w:t xml:space="preserve">48.</w:t>
      </w:r>
      <w:r>
        <w:t xml:space="preserve"> </w:t>
      </w:r>
      <w:r>
        <w:t xml:space="preserve">	</w:t>
      </w:r>
      <w:r>
        <w:t xml:space="preserve">Prasanth GK, Divya LM, Sadasivan C. Bisphenol-</w:t>
      </w:r>
      <w:r>
        <w:t xml:space="preserve">A</w:t>
      </w:r>
      <w:r>
        <w:t xml:space="preserve"> </w:t>
      </w:r>
      <w:r>
        <w:t xml:space="preserve">can bind to human glucocorticoid receptor as an agonist: An in silico study.</w:t>
      </w:r>
      <w:r>
        <w:t xml:space="preserve"> </w:t>
      </w:r>
      <w:r>
        <w:rPr>
          <w:iCs/>
          <w:i/>
        </w:rPr>
        <w:t xml:space="preserve">Journal of Applied Toxicology</w:t>
      </w:r>
      <w:r>
        <w:t xml:space="preserve"> </w:t>
      </w:r>
      <w:r>
        <w:t xml:space="preserve">[electronic article]. 2010;30(8):769–774. (</w:t>
      </w:r>
      <w:hyperlink r:id="rId127">
        <w:r>
          <w:rPr>
            <w:rStyle w:val="Hyperlink"/>
          </w:rPr>
          <w:t xml:space="preserve">https://onlinelibrary.wiley.com/doi/abs/10.1002/jat.1570</w:t>
        </w:r>
      </w:hyperlink>
      <w:r>
        <w:t xml:space="preserve">). (Accessed February 13, 2024)</w:t>
      </w:r>
    </w:p>
    <w:bookmarkEnd w:id="128"/>
    <w:bookmarkStart w:id="130" w:name="ref-YangLiRen:2019"/>
    <w:p>
      <w:pPr>
        <w:pStyle w:val="Bibliography"/>
      </w:pPr>
      <w:r>
        <w:t xml:space="preserve">49.</w:t>
      </w:r>
      <w:r>
        <w:t xml:space="preserve"> </w:t>
      </w:r>
      <w:r>
        <w:t xml:space="preserve">	</w:t>
      </w:r>
      <w:r>
        <w:t xml:space="preserve">Yang F-W, Li Y-X, Ren F-Z, et al. Assessment of the endocrine-disrupting effects of organophosphorus pesticide triazophos and its metabolites on endocrine hormones biosynthesis, transport and receptor binding</w:t>
      </w:r>
      <w:r>
        <w:t xml:space="preserve"> </w:t>
      </w:r>
      <w:r>
        <w:rPr>
          <w:iCs/>
          <w:i/>
        </w:rPr>
        <w:t xml:space="preserve">in Silico</w:t>
      </w:r>
      <w:r>
        <w:t xml:space="preserve">.</w:t>
      </w:r>
      <w:r>
        <w:t xml:space="preserve"> </w:t>
      </w:r>
      <w:r>
        <w:rPr>
          <w:iCs/>
          <w:i/>
        </w:rPr>
        <w:t xml:space="preserve">Food and Chemical Toxicology</w:t>
      </w:r>
      <w:r>
        <w:t xml:space="preserve"> </w:t>
      </w:r>
      <w:r>
        <w:t xml:space="preserve">[electronic article]. 2019;133:110759. (</w:t>
      </w:r>
      <w:hyperlink r:id="rId129">
        <w:r>
          <w:rPr>
            <w:rStyle w:val="Hyperlink"/>
          </w:rPr>
          <w:t xml:space="preserve">https://www.sciencedirect.com/science/article/pii/S0278691519305496</w:t>
        </w:r>
      </w:hyperlink>
      <w:r>
        <w:t xml:space="preserve">). (Accessed February 13, 2024)</w:t>
      </w:r>
    </w:p>
    <w:bookmarkEnd w:id="130"/>
    <w:bookmarkStart w:id="132" w:name="ref-CasasBasaganaSakhi:2018"/>
    <w:p>
      <w:pPr>
        <w:pStyle w:val="Bibliography"/>
      </w:pPr>
      <w:r>
        <w:t xml:space="preserve">50.</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w:t>
      </w:r>
      <w:r>
        <w:t xml:space="preserve">[electronic article]. 2018;121(Pt 1, Pt 1):561–573. (</w:t>
      </w:r>
      <w:hyperlink r:id="rId131">
        <w:r>
          <w:rPr>
            <w:rStyle w:val="Hyperlink"/>
          </w:rPr>
          <w:t xml:space="preserve">http://dx.doi.org/10.1016/j.envint.2018.09.046</w:t>
        </w:r>
      </w:hyperlink>
      <w:r>
        <w:t xml:space="preserve">)</w:t>
      </w:r>
    </w:p>
    <w:bookmarkEnd w:id="132"/>
    <w:bookmarkEnd w:id="133"/>
    <w:p>
      <w:r>
        <w:br w:type="page"/>
      </w:r>
    </w:p>
    <w:bookmarkEnd w:id="134"/>
    <w:bookmarkStart w:id="141" w:name="tables-for-descriptive-data"/>
    <w:p>
      <w:pPr>
        <w:pStyle w:val="Heading1"/>
      </w:pPr>
      <w:r>
        <w:t xml:space="preserve">Tables for descriptive data</w:t>
      </w:r>
    </w:p>
    <w:bookmarkStart w:id="136"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35" w:name="tbl-pop-desc"/>
          <w:p>
            <w:pPr>
              <w:jc w:val="center"/>
            </w:pPr>
            <w:pPr>
              <w:jc w:val="start"/>
              <w:spacing w:before="200"/>
              <w:pStyle w:val="ImageCaption"/>
            </w:pPr>
            <w:r>
              <w:t xml:space="preserve">Table 1:</w:t>
            </w:r>
            <w:r>
              <w:t xml:space="preserve"> </w:t>
            </w:r>
            <w:r>
              <w:rPr>
                <w:bCs/>
                <w:b/>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n (%); Median (IQR)</w:t>
                  </w:r>
                </w:p>
              </w:tc>
            </w:tr>
          </w:tbl>
          <w:bookmarkEnd w:id="135"/>
        </w:tc>
      </w:tr>
    </w:tbl>
    <w:bookmarkEnd w:id="136"/>
    <w:bookmarkStart w:id="138"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7" w:name="tbl-edc-desc"/>
          <w:p>
            <w:pPr>
              <w:jc w:val="center"/>
            </w:pPr>
            <w:pPr>
              <w:jc w:val="start"/>
              <w:spacing w:before="200"/>
              <w:pStyle w:val="ImageCaption"/>
            </w:pPr>
            <w:r>
              <w:t xml:space="preserve">Table 2:</w:t>
            </w:r>
            <w:r>
              <w:t xml:space="preserve"> </w:t>
            </w:r>
            <w:r>
              <w:rPr>
                <w:bCs/>
                <w:b/>
              </w:rPr>
              <w:t xml:space="preserve">Participants endocrine disruptors concentrations expressed in</w:t>
            </w:r>
            <w:r>
              <w:rPr>
                <w:bCs/>
                <w:b/>
              </w:rPr>
              <w:t xml:space="preserve"> </w:t>
            </w:r>
            <m:oMath>
              <m:r>
                <m:t>μ</m:t>
              </m:r>
            </m:oMath>
            <w:r>
              <w:rPr>
                <w:bCs/>
                <w:b/>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 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 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 1.0 (0.1)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 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 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 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 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 0.0 (0.0)</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bl>
          <w:bookmarkEnd w:id="137"/>
        </w:tc>
      </w:tr>
    </w:tbl>
    <w:bookmarkEnd w:id="138"/>
    <w:bookmarkStart w:id="140"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39" w:name="tbl-met-new-desc"/>
          <w:p>
            <w:pPr>
              <w:jc w:val="center"/>
            </w:pPr>
            <w:pPr>
              <w:jc w:val="start"/>
              <w:spacing w:before="200"/>
              <w:pStyle w:val="ImageCaption"/>
            </w:pPr>
            <w:r>
              <w:t xml:space="preserve">Table 3:</w:t>
            </w:r>
            <w:r>
              <w:t xml:space="preserve"> </w:t>
            </w:r>
            <w:r>
              <w:rPr>
                <w:bCs/>
                <w:b/>
              </w:rPr>
              <w:t xml:space="preserve">Participants derived glucocorticosteroids concentrations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39"/>
        </w:tc>
      </w:tr>
    </w:tbl>
    <w:bookmarkEnd w:id="140"/>
    <w:bookmarkEnd w:id="141"/>
    <w:bookmarkStart w:id="145" w:name="tables-for-other-analyses"/>
    <w:p>
      <w:pPr>
        <w:pStyle w:val="Heading1"/>
      </w:pPr>
      <w:r>
        <w:t xml:space="preserve">Tables for other analyses</w:t>
      </w:r>
    </w:p>
    <w:bookmarkStart w:id="144"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42" w:name="tbl-hypothesis-1and2"/>
          <w:p>
            <w:pPr>
              <w:jc w:val="center"/>
            </w:pPr>
            <w:pPr>
              <w:jc w:val="start"/>
              <w:spacing w:before="200"/>
              <w:pStyle w:val="ImageCaption"/>
            </w:pPr>
            <w:r>
              <w:t xml:space="preserve">Table 4:</w:t>
            </w:r>
            <w:r>
              <w:t xml:space="preserve"> </w:t>
            </w:r>
            <w:r>
              <w:rPr>
                <w:bCs/>
                <w:b/>
              </w:rPr>
              <w:t xml:space="preserve">Pairwise differences between sex-specific marginal contrasts for the effect of a decrease from the 90th to the 10th percentile of EDCs on HRT-SE, expressed in ms, and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(-0.059, -0.004)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(0.039, 0.144)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 (0.002, 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(0.017, 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3" w:name="tbl-hypothesis-3"/>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a decrease from the 90th to the 10th percentile of the glucocorticosteroids on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pruduction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(-0.253, -0.006)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 (-0.241, -0.028)</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43"/>
        </w:tc>
      </w:tr>
    </w:tbl>
    <w:p>
      <w:r>
        <w:br w:type="page"/>
      </w:r>
    </w:p>
    <w:bookmarkEnd w:id="144"/>
    <w:bookmarkEnd w:id="145"/>
    <w:bookmarkStart w:id="159" w:name="figures-for-main-results"/>
    <w:p>
      <w:pPr>
        <w:pStyle w:val="Heading1"/>
      </w:pPr>
      <w:r>
        <w:t xml:space="preserve">Figures for main results</w:t>
      </w:r>
    </w:p>
    <w:bookmarkStart w:id="158"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49" w:name="fig-marginal-1"/>
          <w:p>
            <w:pPr>
              <w:jc w:val="center"/>
            </w:pPr>
            <w:r>
              <w:drawing>
                <wp:inline>
                  <wp:extent cx="5334000" cy="5926666"/>
                  <wp:effectExtent b="0" l="0" r="0" t="0"/>
                  <wp:docPr descr="" title="" id="147" name="Picture"/>
                  <a:graphic>
                    <a:graphicData uri="http://schemas.openxmlformats.org/drawingml/2006/picture">
                      <pic:pic>
                        <pic:nvPicPr>
                          <pic:cNvPr descr="manuscript_files/figure-docx/marginal-1-1.png" id="148" name="Picture"/>
                          <pic:cNvPicPr>
                            <a:picLocks noChangeArrowheads="1" noChangeAspect="1"/>
                          </pic:cNvPicPr>
                        </pic:nvPicPr>
                        <pic:blipFill>
                          <a:blip r:embed="rId146"/>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for the effect of a decrease from the 90th to the 10th percentile of the EDCs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4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3" w:name="fig-marginal-2"/>
          <w:p>
            <w:pPr>
              <w:jc w:val="center"/>
            </w:pPr>
            <w:r>
              <w:drawing>
                <wp:inline>
                  <wp:extent cx="5334000" cy="7112000"/>
                  <wp:effectExtent b="0" l="0" r="0" t="0"/>
                  <wp:docPr descr="" title="" id="151" name="Picture"/>
                  <a:graphic>
                    <a:graphicData uri="http://schemas.openxmlformats.org/drawingml/2006/picture">
                      <pic:pic>
                        <pic:nvPicPr>
                          <pic:cNvPr descr="manuscript_files/figure-docx/marginal-2-1.png" id="152" name="Picture"/>
                          <pic:cNvPicPr>
                            <a:picLocks noChangeArrowheads="1" noChangeAspect="1"/>
                          </pic:cNvPicPr>
                        </pic:nvPicPr>
                        <pic:blipFill>
                          <a:blip r:embed="rId150"/>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for the effect of a decrease from the 90th to the 10th percentile of the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5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7" w:name="fig-marginal-3"/>
          <w:p>
            <w:pPr>
              <w:jc w:val="center"/>
            </w:pPr>
            <w:r>
              <w:drawing>
                <wp:inline>
                  <wp:extent cx="5334000" cy="2963333"/>
                  <wp:effectExtent b="0" l="0" r="0" t="0"/>
                  <wp:docPr descr="" title="" id="155" name="Picture"/>
                  <a:graphic>
                    <a:graphicData uri="http://schemas.openxmlformats.org/drawingml/2006/picture">
                      <pic:pic>
                        <pic:nvPicPr>
                          <pic:cNvPr descr="manuscript_files/figure-docx/marginal-3-1.png" id="156" name="Picture"/>
                          <pic:cNvPicPr>
                            <a:picLocks noChangeArrowheads="1" noChangeAspect="1"/>
                          </pic:cNvPicPr>
                        </pic:nvPicPr>
                        <pic:blipFill>
                          <a:blip r:embed="rId154"/>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for the effect of a decrease from the 90th to the 10th percentile of the glucocorticosteroids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 Abbreviations: cortisone production (cortisone prod.); cortisol production (cortisol prod.); corticost. prod. (corticosterone production).</w:t>
            </w:r>
          </w:p>
          <w:bookmarkEnd w:id="157"/>
        </w:tc>
      </w:tr>
    </w:tbl>
    <w:p>
      <w:r>
        <w:br w:type="page"/>
      </w:r>
    </w:p>
    <w:bookmarkEnd w:id="158"/>
    <w:bookmarkEnd w:id="159"/>
    <w:bookmarkStart w:id="161" w:name="supplementary-information"/>
    <w:p>
      <w:pPr>
        <w:pStyle w:val="Heading1"/>
      </w:pPr>
      <w:r>
        <w:t xml:space="preserve">Supplementary information</w:t>
      </w:r>
    </w:p>
    <w:bookmarkStart w:id="160"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60"/>
    <w:bookmarkEnd w:id="161"/>
    <w:bookmarkStart w:id="191" w:name="supplementary-tables"/>
    <w:p>
      <w:pPr>
        <w:pStyle w:val="Heading1"/>
      </w:pPr>
      <w:r>
        <w:t xml:space="preserve">Supplementary tables</w:t>
      </w:r>
    </w:p>
    <w:bookmarkStart w:id="176" w:name="tables-for-descriptive-data-1"/>
    <w:p>
      <w:pPr>
        <w:pStyle w:val="Heading2"/>
      </w:pPr>
      <w:r>
        <w:t xml:space="preserve">Tables for descriptive data</w:t>
      </w:r>
    </w:p>
    <w:bookmarkStart w:id="163" w:name="X3dd11f121b94bf83edf631b791707ae3059cce5"/>
    <w:p>
      <w:pPr>
        <w:pStyle w:val="Heading3"/>
      </w:pPr>
      <w:r>
        <w:t xml:space="preserve">Information about the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62"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bl>
          <w:p>
            <w:pPr>
              <w:jc w:val="center"/>
            </w:pPr>
            <w:pPr>
              <w:jc w:val="start"/>
              <w:spacing w:before="200"/>
              <w:pStyle w:val="ImageCaption"/>
            </w:pPr>
            <w:r>
              <w:t xml:space="preserve">Table S1:</w:t>
            </w:r>
            <w:r>
              <w:t xml:space="preserve"> </w:t>
            </w:r>
            <w:r>
              <w:rPr>
                <w:bCs/>
                <w:b/>
              </w:rPr>
              <w:t xml:space="preserve">Information about non-persistent EDCs, including the full compound name, the standard symbol, the used variable name, the identifier from PubChem, and the parental compound.</w:t>
            </w:r>
          </w:p>
          <w:bookmarkEnd w:id="162"/>
        </w:tc>
      </w:tr>
    </w:tbl>
    <w:bookmarkEnd w:id="163"/>
    <w:bookmarkStart w:id="165" w:name="X27d21f98094cbb07d979ff676e2d01ea8aceb5f"/>
    <w:p>
      <w:pPr>
        <w:pStyle w:val="Heading3"/>
      </w:pPr>
      <w:r>
        <w:t xml:space="preserve">Information about the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64"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S2:</w:t>
            </w:r>
            <w:r>
              <w:t xml:space="preserve"> </w:t>
            </w:r>
            <w:r>
              <w:rPr>
                <w:bCs/>
                <w:b/>
              </w:rPr>
              <w:t xml:space="preserve">Information about the glucocorticosteroids, including the full metabolite name, the standard symbol, the identifier from the HMDB, and the CAS number.</w:t>
            </w:r>
          </w:p>
          <w:bookmarkEnd w:id="164"/>
        </w:tc>
      </w:tr>
    </w:tbl>
    <w:bookmarkEnd w:id="165"/>
    <w:bookmarkStart w:id="169" w:name="codebooks"/>
    <w:p>
      <w:pPr>
        <w:pStyle w:val="Heading3"/>
      </w:pPr>
      <w:r>
        <w:t xml:space="preserve">Codebooks</w:t>
      </w:r>
    </w:p>
    <w:tbl>
      <w:tblPr>
        <w:tblStyle w:val="Table"/>
        <w:tblW w:type="pct" w:w="5000"/>
        <w:tblLook w:firstRow="0" w:lastRow="0" w:firstColumn="0" w:lastColumn="0" w:noHBand="0" w:noVBand="0" w:val="0000"/>
        <w:jc w:val="start"/>
        <w:tblLayout w:type="fixed"/>
      </w:tblPr>
      <w:tblGrid>
        <w:gridCol w:w="7920"/>
      </w:tblGrid>
      <w:tr>
        <w:tc>
          <w:tcPr/>
          <w:bookmarkStart w:id="166"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EDCs on HRT-SE.</w:t>
            </w:r>
          </w:p>
          <w:bookmarkEnd w:id="16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7"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S4:</w:t>
            </w:r>
            <w:r>
              <w:t xml:space="preserve"> </w:t>
            </w:r>
            <w:r>
              <w:rPr>
                <w:bCs/>
                <w:b/>
              </w:rPr>
              <w:t xml:space="preserve">Codebook for the covariates used in the estimation of the marginal comparisons of EDCs on the glucocorticosteroids.</w:t>
            </w:r>
          </w:p>
          <w:bookmarkEnd w:id="16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8"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S5:</w:t>
            </w:r>
            <w:r>
              <w:t xml:space="preserve"> </w:t>
            </w:r>
            <w:r>
              <w:rPr>
                <w:bCs/>
                <w:b/>
              </w:rPr>
              <w:t xml:space="preserve">Codebook for the covariates used in the estimation of the marginal comparisons of the glucocorticosteroids on HRT-SE.</w:t>
            </w:r>
          </w:p>
          <w:bookmarkEnd w:id="168"/>
        </w:tc>
      </w:tr>
    </w:tbl>
    <w:bookmarkEnd w:id="169"/>
    <w:bookmarkStart w:id="171" w:name="X1648560fc56530d4d9e363e88afe88d93501164"/>
    <w:p>
      <w:pPr>
        <w:pStyle w:val="Heading3"/>
      </w:pPr>
      <w:r>
        <w:t xml:space="preserve">Lower limits of quantification of the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70"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S6:</w:t>
            </w:r>
            <w:r>
              <w:t xml:space="preserve"> </w:t>
            </w:r>
            <w:r>
              <w:rPr>
                <w:bCs/>
                <w:b/>
              </w:rPr>
              <w:t xml:space="preserve">Lower limits of quantification expressed in ng/ml for the glucocorticosteroids (HELIX subcohort; 2013-2016).</w:t>
            </w:r>
          </w:p>
          <w:bookmarkEnd w:id="170"/>
        </w:tc>
      </w:tr>
    </w:tbl>
    <w:bookmarkEnd w:id="171"/>
    <w:bookmarkStart w:id="173"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72"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221</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 (hours)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S7:</w:t>
            </w:r>
            <w:r>
              <w:t xml:space="preserve"> </w:t>
            </w:r>
            <w:r>
              <w:rPr>
                <w:bCs/>
                <w:b/>
              </w:rPr>
              <w:t xml:space="preserve">Participant characteristics, by cohort and overall (HELIX subcohort; 2013-2016).</w:t>
            </w:r>
          </w:p>
          <w:bookmarkEnd w:id="172"/>
        </w:tc>
      </w:tr>
    </w:tbl>
    <w:bookmarkEnd w:id="173"/>
    <w:bookmarkStart w:id="175" w:name="Xcb6196f128f6cc86878aba684850c2c40bb135f"/>
    <w:p>
      <w:pPr>
        <w:pStyle w:val="Heading3"/>
      </w:pPr>
      <w:r>
        <w:t xml:space="preserve">Concentrations of the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74"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INMA</w:t>
                  </w:r>
                  <w:r>
                    <w:rPr>
                      <w:rFonts w:ascii="Calibri" w:hAnsi="Calibri"/>
                      <w:sz w:val="20"/>
                    </w:rPr>
                    <w:t xml:space="preserve">, N = 205</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S8:</w:t>
            </w:r>
            <w:r>
              <w:t xml:space="preserve"> </w:t>
            </w:r>
            <w:r>
              <w:rPr>
                <w:bCs/>
                <w:b/>
              </w:rPr>
              <w:t xml:space="preserve">Participants glucocorticosteroids concentrations, by cohort and overall (HELIX subcohort; 2013-2016).</w:t>
            </w:r>
          </w:p>
          <w:bookmarkEnd w:id="174"/>
        </w:tc>
      </w:tr>
    </w:tbl>
    <w:bookmarkEnd w:id="175"/>
    <w:bookmarkEnd w:id="176"/>
    <w:bookmarkStart w:id="185" w:name="tables-for-main-results"/>
    <w:p>
      <w:pPr>
        <w:pStyle w:val="Heading2"/>
      </w:pPr>
      <w:r>
        <w:t xml:space="preserve">Tables for main results</w:t>
      </w:r>
    </w:p>
    <w:bookmarkStart w:id="180" w:name="balancing-weights-sample-sizes"/>
    <w:p>
      <w:pPr>
        <w:pStyle w:val="Heading3"/>
      </w:pPr>
      <w:r>
        <w:t xml:space="preserve">Balancing weights: sample sizes</w:t>
      </w:r>
    </w:p>
    <w:tbl>
      <w:tblPr>
        <w:tblStyle w:val="Table"/>
        <w:tblW w:type="pct" w:w="5000"/>
        <w:tblLook w:firstRow="0" w:lastRow="0" w:firstColumn="0" w:lastColumn="0" w:noHBand="0" w:noVBand="0" w:val="0000"/>
        <w:jc w:val="start"/>
        <w:tblLayout w:type="fixed"/>
      </w:tblPr>
      <w:tblGrid>
        <w:gridCol w:w="7920"/>
      </w:tblGrid>
      <w:tr>
        <w:tc>
          <w:tcPr/>
          <w:bookmarkStart w:id="177"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EDCs; outcome: HRT-SE) (HELIX subcohort; 2013-2016).</w:t>
            </w:r>
          </w:p>
          <w:bookmarkEnd w:id="17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Effective sample size before and after balancing weights estimation (exposures: EDCs; outcomes: glucocorticosteroids) (HELIX subcohort; 2013-2016).</w:t>
            </w:r>
          </w:p>
          <w:bookmarkEnd w:id="17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9"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Effective sample size before and after balancing weights estimation (exposures: glucocorticosteroids; outcome: HRT-SE) (HELIX subcohort; 2013-2016).</w:t>
            </w:r>
          </w:p>
          <w:bookmarkEnd w:id="179"/>
        </w:tc>
      </w:tr>
    </w:tbl>
    <w:bookmarkEnd w:id="180"/>
    <w:bookmarkStart w:id="184" w:name="balancing-weights-summary-statistics"/>
    <w:p>
      <w:pPr>
        <w:pStyle w:val="Heading3"/>
      </w:pPr>
      <w:r>
        <w:t xml:space="preserve">Balancing weights: summary statistics</w:t>
      </w:r>
    </w:p>
    <w:tbl>
      <w:tblPr>
        <w:tblStyle w:val="Table"/>
        <w:tblW w:type="pct" w:w="5000"/>
        <w:tblLook w:firstRow="0" w:lastRow="0" w:firstColumn="0" w:lastColumn="0" w:noHBand="0" w:noVBand="0" w:val="0000"/>
        <w:jc w:val="start"/>
        <w:tblLayout w:type="fixed"/>
      </w:tblPr>
      <w:tblGrid>
        <w:gridCol w:w="7920"/>
      </w:tblGrid>
      <w:tr>
        <w:tc>
          <w:tcPr/>
          <w:bookmarkStart w:id="181"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EDCs; outcome: HRT-SE) (HELIX subcohort; 2013-2016).</w:t>
            </w:r>
          </w:p>
          <w:bookmarkEnd w:id="18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2"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(exposures: EDCs; outcomes: glucocorticosteroids) (HELIX subcohort; 2013-2016).</w:t>
            </w:r>
          </w:p>
          <w:bookmarkEnd w:id="18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3"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(exposures: glucocorticosteroids; outcome: HRT-SE) (HELIX subcohort; 2013-2016).</w:t>
            </w:r>
          </w:p>
          <w:bookmarkEnd w:id="183"/>
        </w:tc>
      </w:tr>
    </w:tbl>
    <w:bookmarkEnd w:id="184"/>
    <w:bookmarkEnd w:id="185"/>
    <w:bookmarkStart w:id="190" w:name="tables-for-other-results"/>
    <w:p>
      <w:pPr>
        <w:pStyle w:val="Heading2"/>
      </w:pPr>
      <w:r>
        <w:t xml:space="preserve">Tables for other results</w:t>
      </w:r>
    </w:p>
    <w:bookmarkStart w:id="189" w:name="X3feb8d4de640dcb7c28adcb0ef65dd3ddb7cb7d"/>
    <w:p>
      <w:pPr>
        <w:pStyle w:val="Heading3"/>
      </w:pPr>
      <w:r>
        <w:t xml:space="preserve">Balancing weights for effect modification: summary statistics</w:t>
      </w:r>
    </w:p>
    <w:tbl>
      <w:tblPr>
        <w:tblStyle w:val="Table"/>
        <w:tblW w:type="pct" w:w="5000"/>
        <w:tblLook w:firstRow="0" w:lastRow="0" w:firstColumn="0" w:lastColumn="0" w:noHBand="0" w:noVBand="0" w:val="0000"/>
        <w:jc w:val="start"/>
        <w:tblLayout w:type="fixed"/>
      </w:tblPr>
      <w:tblGrid>
        <w:gridCol w:w="7920"/>
      </w:tblGrid>
      <w:tr>
        <w:tc>
          <w:tcPr/>
          <w:bookmarkStart w:id="186"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EDCs; outcome: HRT-SE; modifier: sex) (HELIX subcohort; 2013-2016).</w:t>
            </w:r>
          </w:p>
          <w:bookmarkEnd w:id="18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7"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Cs/>
                <w:b/>
              </w:rPr>
              <w:t xml:space="preserve">Summary statistics of the estimated balancing weights for effect modification (exposures: EDCs; outcomes: glucocorticosteroids; modifier: sex) (HELIX subcohort; 2013-2016).</w:t>
            </w:r>
          </w:p>
          <w:bookmarkEnd w:id="18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88"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S17:</w:t>
            </w:r>
            <w:r>
              <w:t xml:space="preserve"> </w:t>
            </w:r>
            <w:r>
              <w:rPr>
                <w:bCs/>
                <w:b/>
              </w:rPr>
              <w:t xml:space="preserve">Summary statistics of the estimated balancing weights for effect modification (exposures: glucocorticosteroids; outcome: HRT-SE; modifier: sex) (HELIX subcohort; 2013-2016).</w:t>
            </w:r>
          </w:p>
          <w:bookmarkEnd w:id="188"/>
        </w:tc>
      </w:tr>
    </w:tbl>
    <w:bookmarkEnd w:id="189"/>
    <w:bookmarkEnd w:id="190"/>
    <w:bookmarkEnd w:id="191"/>
    <w:bookmarkStart w:id="222" w:name="supplementary-figures"/>
    <w:p>
      <w:pPr>
        <w:pStyle w:val="Heading1"/>
      </w:pPr>
      <w:r>
        <w:t xml:space="preserve">Supplementary figures</w:t>
      </w:r>
    </w:p>
    <w:bookmarkStart w:id="207" w:name="figures-for-descriptive-data"/>
    <w:p>
      <w:pPr>
        <w:pStyle w:val="Heading2"/>
      </w:pPr>
      <w:r>
        <w:t xml:space="preserve">Figures for descriptive data</w:t>
      </w:r>
    </w:p>
    <w:bookmarkStart w:id="196" w:name="study-populations-2"/>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95" w:name="suppfig-flow-pop"/>
          <w:p>
            <w:pPr>
              <w:jc w:val="center"/>
            </w:pPr>
          </w:p>
          <w:p>
            <w:pPr>
              <w:jc w:val="center"/>
            </w:pPr>
            <w:r>
              <w:drawing>
                <wp:inline>
                  <wp:extent cx="5334000" cy="3346287"/>
                  <wp:effectExtent b="0" l="0" r="0" t="0"/>
                  <wp:docPr descr="" title="" id="193" name="Picture"/>
                  <a:graphic>
                    <a:graphicData uri="http://schemas.openxmlformats.org/drawingml/2006/picture">
                      <pic:pic>
                        <pic:nvPicPr>
                          <pic:cNvPr descr="manuscript_files/figure-docx/mermaid-figure-1.png" id="194" name="Picture"/>
                          <pic:cNvPicPr>
                            <a:picLocks noChangeArrowheads="1" noChangeAspect="1"/>
                          </pic:cNvPicPr>
                        </pic:nvPicPr>
                        <pic:blipFill>
                          <a:blip r:embed="rId192"/>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 sample size for each research question.</w:t>
            </w:r>
          </w:p>
          <w:bookmarkEnd w:id="195"/>
        </w:tc>
      </w:tr>
    </w:tbl>
    <w:bookmarkEnd w:id="196"/>
    <w:bookmarkStart w:id="201" w:name="description-of-endocrine-disruptors"/>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200" w:name="suppfig-desc-chems"/>
          <w:p>
            <w:pPr>
              <w:jc w:val="center"/>
            </w:pPr>
            <w:r>
              <w:drawing>
                <wp:inline>
                  <wp:extent cx="5334000" cy="6223000"/>
                  <wp:effectExtent b="0" l="0" r="0" t="0"/>
                  <wp:docPr descr="" title="" id="198" name="Picture"/>
                  <a:graphic>
                    <a:graphicData uri="http://schemas.openxmlformats.org/drawingml/2006/picture">
                      <pic:pic>
                        <pic:nvPicPr>
                          <pic:cNvPr descr="manuscript_files/figure-docx/desc-chems-lod-1.png" id="199" name="Picture"/>
                          <pic:cNvPicPr>
                            <a:picLocks noChangeArrowheads="1" noChangeAspect="1"/>
                          </pic:cNvPicPr>
                        </pic:nvPicPr>
                        <pic:blipFill>
                          <a:blip r:embed="rId197"/>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EDCs, by cohort (HELIX subcohort; 2013-2016).</w:t>
            </w:r>
            <w:r>
              <w:t xml:space="preserve"> </w:t>
            </w:r>
            <w:r>
              <w:t xml:space="preserve">Coding: 1, quantifiable; 2, &lt;LOD; 3, interference or out of range; 4. not analysed.</w:t>
            </w:r>
          </w:p>
          <w:bookmarkEnd w:id="200"/>
        </w:tc>
      </w:tr>
    </w:tbl>
    <w:bookmarkEnd w:id="201"/>
    <w:bookmarkStart w:id="206" w:name="description-of-glucocorticosteroids"/>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205" w:name="suppfig-desc-mets"/>
          <w:p>
            <w:pPr>
              <w:jc w:val="center"/>
            </w:pPr>
            <w:r>
              <w:drawing>
                <wp:inline>
                  <wp:extent cx="5334000" cy="6223000"/>
                  <wp:effectExtent b="0" l="0" r="0" t="0"/>
                  <wp:docPr descr="" title="" id="203" name="Picture"/>
                  <a:graphic>
                    <a:graphicData uri="http://schemas.openxmlformats.org/drawingml/2006/picture">
                      <pic:pic>
                        <pic:nvPicPr>
                          <pic:cNvPr descr="manuscript_files/figure-docx/desc-mets-lod-1.png" id="204" name="Picture"/>
                          <pic:cNvPicPr>
                            <a:picLocks noChangeArrowheads="1" noChangeAspect="1"/>
                          </pic:cNvPicPr>
                        </pic:nvPicPr>
                        <pic:blipFill>
                          <a:blip r:embed="rId202"/>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Measurement classification of the glucocorticosteroids, by cohort (HELIX subcohort; 2013-2016).</w:t>
            </w:r>
            <w:r>
              <w:t xml:space="preserve"> </w:t>
            </w:r>
            <w:r>
              <w:t xml:space="preserve">Coding: 1, quantifiable; 2, &lt;LOQ; 3, interference or out of range; 4, not detected.</w:t>
            </w:r>
          </w:p>
          <w:bookmarkEnd w:id="205"/>
        </w:tc>
      </w:tr>
    </w:tbl>
    <w:bookmarkEnd w:id="206"/>
    <w:bookmarkEnd w:id="207"/>
    <w:bookmarkStart w:id="221" w:name="figures-for-other-results"/>
    <w:p>
      <w:pPr>
        <w:pStyle w:val="Heading2"/>
      </w:pPr>
      <w:r>
        <w:t xml:space="preserve">Figures for other results</w:t>
      </w:r>
    </w:p>
    <w:bookmarkStart w:id="220"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211" w:name="suppfig-marginal-1sa"/>
          <w:p>
            <w:pPr>
              <w:jc w:val="center"/>
            </w:pPr>
            <w:r>
              <w:drawing>
                <wp:inline>
                  <wp:extent cx="5334000" cy="6223000"/>
                  <wp:effectExtent b="0" l="0" r="0" t="0"/>
                  <wp:docPr descr="" title="" id="209" name="Picture"/>
                  <a:graphic>
                    <a:graphicData uri="http://schemas.openxmlformats.org/drawingml/2006/picture">
                      <pic:pic>
                        <pic:nvPicPr>
                          <pic:cNvPr descr="manuscript_files/figure-docx/marginal-1sa-1.png" id="210" name="Picture"/>
                          <pic:cNvPicPr>
                            <a:picLocks noChangeArrowheads="1" noChangeAspect="1"/>
                          </pic:cNvPicPr>
                        </pic:nvPicPr>
                        <pic:blipFill>
                          <a:blip r:embed="rId208"/>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by sex of a decrease from the 90th to the 10th percentile of the EDCs on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1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15" w:name="suppfig-marginal-2sa"/>
          <w:p>
            <w:pPr>
              <w:jc w:val="center"/>
            </w:pPr>
            <w:r>
              <w:drawing>
                <wp:inline>
                  <wp:extent cx="5334000" cy="7112000"/>
                  <wp:effectExtent b="0" l="0" r="0" t="0"/>
                  <wp:docPr descr="" title="" id="213" name="Picture"/>
                  <a:graphic>
                    <a:graphicData uri="http://schemas.openxmlformats.org/drawingml/2006/picture">
                      <pic:pic>
                        <pic:nvPicPr>
                          <pic:cNvPr descr="manuscript_files/figure-docx/marginal-2sa-1.png" id="214" name="Picture"/>
                          <pic:cNvPicPr>
                            <a:picLocks noChangeArrowheads="1" noChangeAspect="1"/>
                          </pic:cNvPicPr>
                        </pic:nvPicPr>
                        <pic:blipFill>
                          <a:blip r:embed="rId212"/>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by sex of a decrease from the 90th to the 10th percentile of the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1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19" w:name="suppfig-marginal-3sa"/>
          <w:p>
            <w:pPr>
              <w:jc w:val="center"/>
            </w:pPr>
            <w:r>
              <w:drawing>
                <wp:inline>
                  <wp:extent cx="5334000" cy="4445000"/>
                  <wp:effectExtent b="0" l="0" r="0" t="0"/>
                  <wp:docPr descr="" title="" id="217" name="Picture"/>
                  <a:graphic>
                    <a:graphicData uri="http://schemas.openxmlformats.org/drawingml/2006/picture">
                      <pic:pic>
                        <pic:nvPicPr>
                          <pic:cNvPr descr="manuscript_files/figure-docx/marginal-3sa-1.png" id="218" name="Picture"/>
                          <pic:cNvPicPr>
                            <a:picLocks noChangeArrowheads="1" noChangeAspect="1"/>
                          </pic:cNvPicPr>
                        </pic:nvPicPr>
                        <pic:blipFill>
                          <a:blip r:embed="rId21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Cs/>
                <w:b/>
              </w:rPr>
              <w:t xml:space="preserve">Marginal contrasts for effect modification by sex of a decrease from the 90th to the 10th percentile of the glucocorticosteroids on HRT-SE expressed in ms</w:t>
            </w:r>
            <w:r>
              <w:rPr>
                <w:bCs/>
                <w:b/>
              </w:rPr>
              <w:t xml:space="preserve"> </w:t>
            </w:r>
            <w:r>
              <w:rPr>
                <w:bCs/>
                <w:b/>
              </w:rPr>
              <w:t xml:space="preserve">(HELIX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 Abbreviations: cortisone production (cortisone prod.); cortisol production (cortisol prod.); corticost. prod. (corticosterone production).</w:t>
            </w:r>
          </w:p>
          <w:bookmarkEnd w:id="219"/>
        </w:tc>
      </w:tr>
    </w:tbl>
    <w:bookmarkEnd w:id="220"/>
    <w:bookmarkEnd w:id="221"/>
    <w:bookmarkEnd w:id="2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7" Target="media/rId197.png" /><Relationship Type="http://schemas.openxmlformats.org/officeDocument/2006/relationships/image" Id="rId202" Target="media/rId202.png" /><Relationship Type="http://schemas.openxmlformats.org/officeDocument/2006/relationships/image" Id="rId146" Target="media/rId146.png" /><Relationship Type="http://schemas.openxmlformats.org/officeDocument/2006/relationships/image" Id="rId208" Target="media/rId208.png" /><Relationship Type="http://schemas.openxmlformats.org/officeDocument/2006/relationships/image" Id="rId150" Target="media/rId150.png" /><Relationship Type="http://schemas.openxmlformats.org/officeDocument/2006/relationships/image" Id="rId212" Target="media/rId212.png" /><Relationship Type="http://schemas.openxmlformats.org/officeDocument/2006/relationships/image" Id="rId154" Target="media/rId154.png" /><Relationship Type="http://schemas.openxmlformats.org/officeDocument/2006/relationships/image" Id="rId216" Target="media/rId216.png" /><Relationship Type="http://schemas.openxmlformats.org/officeDocument/2006/relationships/image" Id="rId192" Target="media/rId192.png" /><Relationship Type="http://schemas.openxmlformats.org/officeDocument/2006/relationships/hyperlink" Id="rId131"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27"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23"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29" Target="https://www.sciencedirect.com/science/article/pii/S0278691519305496" TargetMode="External" /><Relationship Type="http://schemas.openxmlformats.org/officeDocument/2006/relationships/hyperlink" Id="rId125"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_rels/footnotes.xml.rels><?xml version="1.0" encoding="UTF-8"?><Relationships xmlns="http://schemas.openxmlformats.org/package/2006/relationships"><Relationship Type="http://schemas.openxmlformats.org/officeDocument/2006/relationships/hyperlink" Id="rId131"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19"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1"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7" Target="https://marginaleffects.com/" TargetMode="External" /><Relationship Type="http://schemas.openxmlformats.org/officeDocument/2006/relationships/hyperlink" Id="rId127" Target="https://onlinelibrary.wiley.com/doi/abs/10.1002/jat.1570"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123" Target="https://www.sciencedirect.com/science/article/pii/S0009279709003950"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129" Target="https://www.sciencedirect.com/science/article/pii/S0278691519305496" TargetMode="External" /><Relationship Type="http://schemas.openxmlformats.org/officeDocument/2006/relationships/hyperlink" Id="rId125" Target="https://www.sciencedirect.com/science/article/pii/S0300483X11001466" TargetMode="External" /><Relationship Type="http://schemas.openxmlformats.org/officeDocument/2006/relationships/hyperlink" Id="rId68" Target="https://www.sciencedirect.com/science/article/pii/S0892036223000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2024-02-20T11:55:11Z</dcterms:created>
  <dcterms:modified xsi:type="dcterms:W3CDTF">2024-02-20T11:55:11Z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