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141.png" ContentType="image/png"/>
  <Override PartName="/word/media/rId198.png" ContentType="image/png"/>
  <Override PartName="/word/media/rId145.png" ContentType="image/png"/>
  <Override PartName="/word/media/rId202.png" ContentType="image/png"/>
  <Override PartName="/word/media/rId149.png" ContentType="image/png"/>
  <Override PartName="/word/media/rId206.png" ContentType="image/png"/>
  <Override PartName="/word/media/rId1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(marginal contrast (MC) and</w:t>
      </w:r>
      <w:r>
        <w:t xml:space="preserve"> </w:t>
      </w:r>
      <m:oMath>
        <m:r>
          <m:t>95</m:t>
        </m:r>
        <m:r>
          <m:rPr>
            <m:sty m:val="p"/>
          </m:rPr>
          <m:t>%</m:t>
        </m:r>
      </m:oMath>
      <w:r>
        <w:t xml:space="preserve"> </w:t>
      </w:r>
      <w:r>
        <w:t xml:space="preserve">confidence interval (CI):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organophosphate pesticides (OP pesticides) are one group of EDCs that may have a deleterious effect on neurodevelopment,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S4</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S6</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1</w:t>
        </w:r>
      </w:hyperlink>
      <w:r>
        <w:t xml:space="preserve">, </w:t>
      </w:r>
      <w:hyperlink w:anchor="supptbl-codebook-2">
        <w:r>
          <w:rPr>
            <w:rStyle w:val="Hyperlink"/>
          </w:rPr>
          <w:t xml:space="preserve">2</w:t>
        </w:r>
      </w:hyperlink>
      <w:r>
        <w:t xml:space="preserve">, </w:t>
      </w:r>
      <w:hyperlink w:anchor="supptbl-codebook-3">
        <w:r>
          <w:rPr>
            <w:rStyle w:val="Hyperlink"/>
          </w:rPr>
          <w:t xml:space="preserve">3</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S7</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marginal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marginal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marginal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marginal contrasts.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marginal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marginal contrasts were aggregated separately for each level of sex. We further tested for significance of the difference between the marginal contrasts of males and females.</w:t>
      </w:r>
    </w:p>
    <w:bookmarkEnd w:id="30"/>
    <w:bookmarkEnd w:id="31"/>
    <w:bookmarkEnd w:id="32"/>
    <w:bookmarkStart w:id="34" w:name="sec-res"/>
    <w:p>
      <w:pPr>
        <w:pStyle w:val="Heading1"/>
      </w:pPr>
      <w:r>
        <w:t xml:space="preserve">Results</w:t>
      </w:r>
    </w:p>
    <w:p>
      <w:pPr>
        <w:pStyle w:val="FirstParagraph"/>
      </w:pP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r>
        <w:t xml:space="preserve"> </w:t>
      </w:r>
      <w:hyperlink w:anchor="tbl-pop-desc">
        <w:r>
          <w:rPr>
            <w:rStyle w:val="Hyperlink"/>
          </w:rPr>
          <w:t xml:space="preserve">Table 1</w:t>
        </w:r>
      </w:hyperlink>
      <w:r>
        <w:t xml:space="preserve"> </w:t>
      </w:r>
      <w:r>
        <w:t xml:space="preserve">provides descriptive statistics for the outcome and covariates, by cohort and overall.</w:t>
      </w:r>
    </w:p>
    <w:p>
      <w:pPr>
        <w:pStyle w:val="BodyText"/>
      </w:pPr>
      <w:r>
        <w:t xml:space="preserve">Levels of unprocessed non-persistent EDCs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S5</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8</w:t>
        </w:r>
      </w:hyperlink>
      <w:r>
        <w:t xml:space="preserve">, </w:t>
      </w:r>
      <w:hyperlink w:anchor="supptbl-balance-2">
        <w:r>
          <w:rPr>
            <w:rStyle w:val="Hyperlink"/>
          </w:rPr>
          <w:t xml:space="preserve">9</w:t>
        </w:r>
      </w:hyperlink>
      <w:r>
        <w:t xml:space="preserve">, </w:t>
      </w:r>
      <w:hyperlink w:anchor="supptbl-balance-3">
        <w:r>
          <w:rPr>
            <w:rStyle w:val="Hyperlink"/>
          </w:rPr>
          <w:t xml:space="preserve">10</w:t>
        </w:r>
      </w:hyperlink>
      <w:r>
        <w:t xml:space="preserve">, while basic summary statistics of the estimated balancing weights are presented in Supplementary Tables</w:t>
      </w:r>
      <w:r>
        <w:t xml:space="preserve"> </w:t>
      </w:r>
      <w:hyperlink w:anchor="supptbl-weights-1">
        <w:r>
          <w:rPr>
            <w:rStyle w:val="Hyperlink"/>
          </w:rPr>
          <w:t xml:space="preserve">11</w:t>
        </w:r>
      </w:hyperlink>
      <w:r>
        <w:t xml:space="preserve">, </w:t>
      </w:r>
      <w:hyperlink w:anchor="supptbl-weights-2">
        <w:r>
          <w:rPr>
            <w:rStyle w:val="Hyperlink"/>
          </w:rPr>
          <w:t xml:space="preserve">12</w:t>
        </w:r>
      </w:hyperlink>
      <w:r>
        <w:t xml:space="preserve">, </w:t>
      </w:r>
      <w:hyperlink w:anchor="supptbl-weights-3">
        <w:r>
          <w:rPr>
            <w:rStyle w:val="Hyperlink"/>
          </w:rPr>
          <w:t xml:space="preserve">13</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marginal contrasts of the non-persistent EDCs on HRT-SE. For most EDCs, a cohort-specific increase in the levels of the exposures from the 10th to the 90th percentiles was associated with a positive marginal contrast, indicating an increase in the values of HRT-SE. Most of the CIs included the null effect, though. Statistically significant effects were observed for the phenol MEPA (MC and</w:t>
      </w:r>
      <w:r>
        <w:t xml:space="preserve"> </w:t>
      </w:r>
      <m:oMath>
        <m:r>
          <m:t>95</m:t>
        </m:r>
        <m:r>
          <m:rPr>
            <m:sty m:val="p"/>
          </m:rPr>
          <m:t>%</m:t>
        </m:r>
      </m:oMath>
      <w:r>
        <w:t xml:space="preserve"> </w:t>
      </w:r>
      <w:r>
        <w:t xml:space="preserve">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The OP pesticide DETP was strongly negatively associated with HRT-SE (MC and</w:t>
      </w:r>
      <w:r>
        <w:t xml:space="preserve"> </w:t>
      </w:r>
      <m:oMath>
        <m:r>
          <m:t>95</m:t>
        </m:r>
        <m:r>
          <m:rPr>
            <m:sty m:val="p"/>
          </m:rPr>
          <m:t>%</m:t>
        </m:r>
      </m:oMath>
      <w:r>
        <w:t xml:space="preserve"> </w:t>
      </w:r>
      <w:r>
        <w:t xml:space="preserve">CI: -0.03 (-0.05, 0)).</w:t>
      </w:r>
    </w:p>
    <w:p>
      <w:pPr>
        <w:pStyle w:val="BodyText"/>
      </w:pPr>
      <w:hyperlink w:anchor="fig-marginal-2">
        <w:r>
          <w:rPr>
            <w:rStyle w:val="Hyperlink"/>
          </w:rPr>
          <w:t xml:space="preserve">Figure 2</w:t>
        </w:r>
      </w:hyperlink>
      <w:r>
        <w:t xml:space="preserve"> </w:t>
      </w:r>
      <w:r>
        <w:t xml:space="preserve">presents the forest plot for the marginal contrasts of the non-persistent EDCs on cortisone production, cortisol production, and corticosterone production. For most EDCs, a cohort-specific increase in the levels of the exposures from the 10th to the 90th percentiles was associated with a positive marginal contrast, indicating an increase in the total production of these metabolites. Exceptions were BUPA, which was associated with negative marginal contrasts for all three outcomes, and MiBP, which was associated with a negative marginal contrast for total cortisone production only.</w:t>
      </w:r>
      <w:r>
        <w:t xml:space="preserve"> </w:t>
      </w:r>
      <w:r>
        <w:t xml:space="preserve">The majority of the effects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 (0.13, 0.4); cortisol production, ; corticosterone production, ).</w:t>
      </w:r>
    </w:p>
    <w:p>
      <w:pPr>
        <w:pStyle w:val="BodyText"/>
      </w:pPr>
      <w:hyperlink w:anchor="fig-marginal-3">
        <w:r>
          <w:rPr>
            <w:rStyle w:val="Hyperlink"/>
          </w:rPr>
          <w:t xml:space="preserve">Figure 3</w:t>
        </w:r>
      </w:hyperlink>
      <w:r>
        <w:t xml:space="preserve"> </w:t>
      </w:r>
      <w:r>
        <w:t xml:space="preserve">presents the forest plot for the marginal contrasts of the glucocorticosteroids on HRT-SE. All marginal contrasts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14</w:t>
        </w:r>
      </w:hyperlink>
      <w:r>
        <w:t xml:space="preserve">, </w:t>
      </w:r>
      <w:hyperlink w:anchor="supptbl-weights-2sa">
        <w:r>
          <w:rPr>
            <w:rStyle w:val="Hyperlink"/>
          </w:rPr>
          <w:t xml:space="preserve">15</w:t>
        </w:r>
      </w:hyperlink>
      <w:r>
        <w:t xml:space="preserve">, </w:t>
      </w:r>
      <w:hyperlink w:anchor="supptbl-weights-3sa">
        <w:r>
          <w:rPr>
            <w:rStyle w:val="Hyperlink"/>
          </w:rPr>
          <w:t xml:space="preserve">16</w:t>
        </w:r>
      </w:hyperlink>
      <w:r>
        <w:t xml:space="preserve">. As expected, the median value of the weights for each exposure was close to</w:t>
      </w:r>
      <w:r>
        <w:t xml:space="preserve"> </w:t>
      </w:r>
      <m:oMath>
        <m:r>
          <m:t>1.00</m:t>
        </m:r>
      </m:oMath>
      <w:r>
        <w:t xml:space="preserve">.</w:t>
      </w:r>
    </w:p>
    <w:p>
      <w:pPr>
        <w:pStyle w:val="BodyText"/>
      </w:pPr>
      <w:hyperlink w:anchor="tbl-hypothesis-1">
        <w:r>
          <w:rPr>
            <w:rStyle w:val="Hyperlink"/>
          </w:rPr>
          <w:t xml:space="preserve">Table 4</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 (-0.06, 0)) and the phthalate metabolites MEP (MC and</w:t>
      </w:r>
      <w:r>
        <w:t xml:space="preserve"> </w:t>
      </w:r>
      <m:oMath>
        <m:r>
          <m:t>95</m:t>
        </m:r>
        <m:r>
          <m:rPr>
            <m:sty m:val="p"/>
          </m:rPr>
          <m:t>%</m:t>
        </m:r>
      </m:oMath>
      <w:r>
        <w:t xml:space="preserve"> </w:t>
      </w:r>
      <w:r>
        <w:t xml:space="preserve">CI: 0.09 (0.02, 0.17)) and MbZP (MC and</w:t>
      </w:r>
      <w:r>
        <w:t xml:space="preserve"> </w:t>
      </w:r>
      <m:oMath>
        <m:r>
          <m:t>95</m:t>
        </m:r>
        <m:r>
          <m:rPr>
            <m:sty m:val="p"/>
          </m:rPr>
          <m:t>%</m:t>
        </m:r>
      </m:oMath>
      <w:r>
        <w:t xml:space="preserve"> </w:t>
      </w:r>
      <w:r>
        <w:t xml:space="preserve">CI: 0.06 (0, 0.12)). The forest plot of the individual marginal contrasts is presented in</w:t>
      </w:r>
      <w:r>
        <w:t xml:space="preserve"> </w:t>
      </w:r>
      <w:hyperlink w:anchor="suppfig-marginal-1sa">
        <w:r>
          <w:rPr>
            <w:rStyle w:val="Hyperlink"/>
          </w:rPr>
          <w:t xml:space="preserve">Figure S4</w:t>
        </w:r>
      </w:hyperlink>
      <w:r>
        <w:t xml:space="preserve">.</w:t>
      </w:r>
    </w:p>
    <w:p>
      <w:pPr>
        <w:pStyle w:val="BodyText"/>
      </w:pPr>
      <w:hyperlink w:anchor="tbl-hypothesis-2">
        <w:r>
          <w:rPr>
            <w:rStyle w:val="Hyperlink"/>
          </w:rPr>
          <w:t xml:space="preserve">Table 5</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 (0.09, 0.33)) and DETP (corticosterone production, (MC and</w:t>
      </w:r>
      <w:r>
        <w:t xml:space="preserve"> </w:t>
      </w:r>
      <m:oMath>
        <m:r>
          <m:t>95</m:t>
        </m:r>
        <m:r>
          <m:rPr>
            <m:sty m:val="p"/>
          </m:rPr>
          <m:t>%</m:t>
        </m:r>
      </m:oMath>
      <w:r>
        <w:t xml:space="preserve"> </w:t>
      </w:r>
      <w:r>
        <w:t xml:space="preserve">CI: 0.23 (0.03, 0.43)); cortisone production, (MC and</w:t>
      </w:r>
      <w:r>
        <w:t xml:space="preserve"> </w:t>
      </w:r>
      <m:oMath>
        <m:r>
          <m:t>95</m:t>
        </m:r>
        <m:r>
          <m:rPr>
            <m:sty m:val="p"/>
          </m:rPr>
          <m:t>%</m:t>
        </m:r>
      </m:oMath>
      <w:r>
        <w:t xml:space="preserve"> </w:t>
      </w:r>
      <w:r>
        <w:t xml:space="preserve">CI: 0.21 (0.05, 0.38))). The forest plots of the individual marginal contrasts are presented in</w:t>
      </w:r>
      <w:r>
        <w:t xml:space="preserve"> </w:t>
      </w:r>
      <w:hyperlink w:anchor="suppfig-marginal-2sa">
        <w:r>
          <w:rPr>
            <w:rStyle w:val="Hyperlink"/>
          </w:rPr>
          <w:t xml:space="preserve">Figure S5</w:t>
        </w:r>
      </w:hyperlink>
      <w:r>
        <w:t xml:space="preserve">.</w:t>
      </w:r>
    </w:p>
    <w:p>
      <w:pPr>
        <w:pStyle w:val="BodyText"/>
      </w:pPr>
      <w:hyperlink w:anchor="tbl-hypothesis-3">
        <w:r>
          <w:rPr>
            <w:rStyle w:val="Hyperlink"/>
          </w:rPr>
          <w:t xml:space="preserve">Table 6</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 (-0.24, -0.03)) and corticosterone production (MC and</w:t>
      </w:r>
      <w:r>
        <w:t xml:space="preserve"> </w:t>
      </w:r>
      <m:oMath>
        <m:r>
          <m:t>95</m:t>
        </m:r>
        <m:r>
          <m:rPr>
            <m:sty m:val="p"/>
          </m:rPr>
          <m:t>%</m:t>
        </m:r>
      </m:oMath>
      <w:r>
        <w:t xml:space="preserve"> </w:t>
      </w:r>
      <w:r>
        <w:t xml:space="preserve">CI: -0.13 (-0.25, -0.01)). Furthermore, for all exposures, the marginal contrasts had opposite sign (positive for males and negative for females). The forest plot of the individual marginal contrasts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 [</w:t>
      </w:r>
      <w:r>
        <w:t xml:space="preserve">(</w:t>
      </w:r>
      <w:hyperlink w:anchor="ref-BouchardBellingerWright:2010">
        <w:r>
          <w:rPr>
            <w:rStyle w:val="Hyperlink"/>
          </w:rPr>
          <w:t xml:space="preserve">3</w:t>
        </w:r>
      </w:hyperlink>
      <w:r>
        <w:t xml:space="preserve">)</w:t>
      </w:r>
      <w:r>
        <w:t xml:space="preserve">;</w:t>
      </w:r>
      <w:r>
        <w:t xml:space="preserve"> </w:t>
      </w:r>
      <w:r>
        <w:t xml:space="preserve">(</w:t>
      </w:r>
      <w:hyperlink w:anchor="X2a5c5c17453fffe785b7f0bcffd564283892c6c">
        <w:r>
          <w:rPr>
            <w:rStyle w:val="Hyperlink"/>
          </w:rPr>
          <w:t xml:space="preserve">4</w:t>
        </w:r>
      </w:hyperlink>
      <w:r>
        <w:t xml:space="preserve">)</w:t>
      </w:r>
      <w:r>
        <w:t xml:space="preserve">;</w:t>
      </w:r>
      <w:r>
        <w:t xml:space="preserve"> </w:t>
      </w:r>
      <w:r>
        <w:t xml:space="preserve">(</w:t>
      </w:r>
      <w:hyperlink w:anchor="Xa0cc0fdd8206e54b0a9b4bdcd9d2102efd24cb7">
        <w:r>
          <w:rPr>
            <w:rStyle w:val="Hyperlink"/>
          </w:rPr>
          <w:t xml:space="preserve">6</w:t>
        </w:r>
      </w:hyperlink>
      <w:r>
        <w:t xml:space="preserve">)</w:t>
      </w:r>
      <w:r>
        <w:t xml:space="preserve">; YuDuChiou:2016],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marginal contrasts.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28" w:name="references"/>
    <w:p>
      <w:pPr>
        <w:pStyle w:val="Heading1"/>
      </w:pPr>
      <w:r>
        <w:t xml:space="preserve">References</w:t>
      </w:r>
    </w:p>
    <w:bookmarkStart w:id="127"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25">
        <w:r>
          <w:rPr>
            <w:rStyle w:val="Hyperlink"/>
          </w:rPr>
          <w:t xml:space="preserve">http://dx.doi.org/10.1016/j.envint.2018.09.046</w:t>
        </w:r>
      </w:hyperlink>
      <w:r>
        <w:t xml:space="preserve">)</w:t>
      </w:r>
    </w:p>
    <w:bookmarkEnd w:id="126"/>
    <w:bookmarkEnd w:id="127"/>
    <w:p>
      <w:r>
        <w:br w:type="page"/>
      </w:r>
    </w:p>
    <w:bookmarkEnd w:id="128"/>
    <w:bookmarkStart w:id="135" w:name="tables-for-descriptive-data"/>
    <w:p>
      <w:pPr>
        <w:pStyle w:val="Heading1"/>
      </w:pPr>
      <w:r>
        <w:t xml:space="preserve">Tables for descriptive data</w:t>
      </w:r>
    </w:p>
    <w:bookmarkStart w:id="130"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tbl-pop-desc"/>
          <w:p>
            <w:pPr>
              <w:jc w:val="center"/>
            </w:pPr>
            <w:pPr>
              <w:jc w:val="start"/>
              <w:spacing w:before="200"/>
              <w:pStyle w:val="ImageCaption"/>
            </w:pPr>
            <w:r>
              <w:t xml:space="preserve">Table 1:</w:t>
            </w:r>
            <w:r>
              <w:t xml:space="preserve"> </w:t>
            </w:r>
            <w:r>
              <w:rPr>
                <w:bCs/>
                <w:b/>
              </w:rPr>
              <w:t xml:space="preserve">Participant characteristics,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29"/>
        </w:tc>
      </w:tr>
    </w:tbl>
    <w:bookmarkEnd w:id="130"/>
    <w:bookmarkStart w:id="132"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1" w:name="tbl-edc-desc"/>
          <w:p>
            <w:pPr>
              <w:jc w:val="center"/>
            </w:pPr>
            <w:pPr>
              <w:jc w:val="start"/>
              <w:spacing w:before="200"/>
              <w:pStyle w:val="ImageCaption"/>
            </w:pPr>
            <w:r>
              <w:t xml:space="preserve">Table 2:</w:t>
            </w:r>
            <w:r>
              <w:t xml:space="preserve"> </w:t>
            </w:r>
            <w:r>
              <w:rPr>
                <w:bCs/>
                <w:b/>
              </w:rPr>
              <w:t xml:space="preserve">Participants endocrine disruptors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1"/>
        </w:tc>
      </w:tr>
    </w:tbl>
    <w:bookmarkEnd w:id="132"/>
    <w:bookmarkStart w:id="134"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3" w:name="tbl-met-new-desc"/>
          <w:p>
            <w:pPr>
              <w:jc w:val="center"/>
            </w:pPr>
            <w:pPr>
              <w:jc w:val="start"/>
              <w:spacing w:before="200"/>
              <w:pStyle w:val="ImageCaption"/>
            </w:pPr>
            <w:r>
              <w:t xml:space="preserve">Table 3:</w:t>
            </w:r>
            <w:r>
              <w:t xml:space="preserve"> </w:t>
            </w:r>
            <w:r>
              <w:rPr>
                <w:bCs/>
                <w:b/>
              </w:rPr>
              <w:t xml:space="preserve">Participants derived glucocorticosteroids concentrations,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33"/>
        </w:tc>
      </w:tr>
    </w:tbl>
    <w:bookmarkEnd w:id="134"/>
    <w:bookmarkEnd w:id="135"/>
    <w:bookmarkStart w:id="140" w:name="tables-for-other-analyses"/>
    <w:p>
      <w:pPr>
        <w:pStyle w:val="Heading1"/>
      </w:pPr>
      <w:r>
        <w:t xml:space="preserve">Tables for other analyses</w:t>
      </w:r>
    </w:p>
    <w:bookmarkStart w:id="139"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36" w:name="tbl-hypothesis-1"/>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EDCs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 0.02)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(-0.03,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0.02)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 0.12)</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7" w:name="tbl-hypothesis-2"/>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EDCs on the glucocorticosteroids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 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(0.02, 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 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 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0.18)</w:t>
                  </w:r>
                </w:p>
              </w:tc>
            </w:tr>
            <w:tr>
              <w:trPr>
                <w:cantSplit/>
              </w:trPr>
              <w:tc>
                <w:tcPr>
                  <w:gridSpan w:val="4"/>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8" w:name="tbl-hypothesis-3"/>
          <w:p>
            <w:pPr>
              <w:jc w:val="center"/>
            </w:pPr>
            <w:pPr>
              <w:jc w:val="start"/>
              <w:spacing w:before="200"/>
              <w:pStyle w:val="ImageCaption"/>
            </w:pPr>
            <w:r>
              <w:t xml:space="preserve">Table 6:</w:t>
            </w:r>
            <w:r>
              <w:t xml:space="preserve"> </w:t>
            </w:r>
            <w:r>
              <w:rPr>
                <w:bCs/>
                <w:b/>
              </w:rPr>
              <w:t xml:space="preserve">Pairwise differences between sex-specific marginal contrasts for the effect of the glucocorticosteroids on HRT-SE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-0.01)*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8"/>
        </w:tc>
      </w:tr>
    </w:tbl>
    <w:p>
      <w:r>
        <w:br w:type="page"/>
      </w:r>
    </w:p>
    <w:bookmarkEnd w:id="139"/>
    <w:bookmarkEnd w:id="140"/>
    <w:bookmarkStart w:id="154" w:name="figures-for-main-results"/>
    <w:p>
      <w:pPr>
        <w:pStyle w:val="Heading1"/>
      </w:pPr>
      <w:r>
        <w:t xml:space="preserve">Figures for main results</w:t>
      </w:r>
    </w:p>
    <w:bookmarkStart w:id="153"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4" w:name="fig-marginal-1"/>
          <w:p>
            <w:pPr>
              <w:jc w:val="center"/>
            </w:pPr>
            <w:r>
              <w:drawing>
                <wp:inline>
                  <wp:extent cx="5334000" cy="5926666"/>
                  <wp:effectExtent b="0" l="0" r="0" t="0"/>
                  <wp:docPr descr="" title="" id="142" name="Picture"/>
                  <a:graphic>
                    <a:graphicData uri="http://schemas.openxmlformats.org/drawingml/2006/picture">
                      <pic:pic>
                        <pic:nvPicPr>
                          <pic:cNvPr descr="manuscript_files/figure-docx/marginal-1-1.png" id="143" name="Picture"/>
                          <pic:cNvPicPr>
                            <a:picLocks noChangeArrowheads="1" noChangeAspect="1"/>
                          </pic:cNvPicPr>
                        </pic:nvPicPr>
                        <pic:blipFill>
                          <a:blip r:embed="rId141"/>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(exposures: EDCs;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fig-marginal-2"/>
          <w:p>
            <w:pPr>
              <w:jc w:val="center"/>
            </w:pPr>
            <w:r>
              <w:drawing>
                <wp:inline>
                  <wp:extent cx="5334000" cy="7112000"/>
                  <wp:effectExtent b="0" l="0" r="0" t="0"/>
                  <wp:docPr descr="" title="" id="146" name="Picture"/>
                  <a:graphic>
                    <a:graphicData uri="http://schemas.openxmlformats.org/drawingml/2006/picture">
                      <pic:pic>
                        <pic:nvPicPr>
                          <pic:cNvPr descr="manuscript_files/figure-docx/marginal-2-1.png" id="147" name="Picture"/>
                          <pic:cNvPicPr>
                            <a:picLocks noChangeArrowheads="1" noChangeAspect="1"/>
                          </pic:cNvPicPr>
                        </pic:nvPicPr>
                        <pic:blipFill>
                          <a:blip r:embed="rId145"/>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(exposures: EDCs; outcomes: glucocorticosteroids)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4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2" w:name="fig-marginal-3"/>
          <w:p>
            <w:pPr>
              <w:jc w:val="center"/>
            </w:pPr>
            <w:r>
              <w:drawing>
                <wp:inline>
                  <wp:extent cx="5334000" cy="2963333"/>
                  <wp:effectExtent b="0" l="0" r="0" t="0"/>
                  <wp:docPr descr="" title="" id="150" name="Picture"/>
                  <a:graphic>
                    <a:graphicData uri="http://schemas.openxmlformats.org/drawingml/2006/picture">
                      <pic:pic>
                        <pic:nvPicPr>
                          <pic:cNvPr descr="manuscript_files/figure-docx/marginal-3-1.png" id="151" name="Picture"/>
                          <pic:cNvPicPr>
                            <a:picLocks noChangeArrowheads="1" noChangeAspect="1"/>
                          </pic:cNvPicPr>
                        </pic:nvPicPr>
                        <pic:blipFill>
                          <a:blip r:embed="rId149"/>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(exposures: glucocorticosteroids; outcome: HRT-SE)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2"/>
        </w:tc>
      </w:tr>
    </w:tbl>
    <w:p>
      <w:r>
        <w:br w:type="page"/>
      </w:r>
    </w:p>
    <w:p>
      <w:pPr>
        <w:numPr>
          <w:ilvl w:val="0"/>
          <w:numId w:val="1003"/>
        </w:numPr>
        <w:pStyle w:val="Compact"/>
      </w:pPr>
      <w:r>
        <w:t xml:space="preserve">Files for supplementary data must be accompanied by a summary of the file names and types.</w:t>
      </w:r>
    </w:p>
    <w:bookmarkEnd w:id="153"/>
    <w:bookmarkEnd w:id="154"/>
    <w:bookmarkStart w:id="156" w:name="supplementary-information"/>
    <w:p>
      <w:pPr>
        <w:pStyle w:val="Heading1"/>
      </w:pPr>
      <w:r>
        <w:t xml:space="preserve">Supplementary information</w:t>
      </w:r>
    </w:p>
    <w:bookmarkStart w:id="155"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55"/>
    <w:bookmarkEnd w:id="156"/>
    <w:bookmarkStart w:id="181" w:name="supplementary-tables"/>
    <w:p>
      <w:pPr>
        <w:pStyle w:val="Heading1"/>
      </w:pPr>
      <w:r>
        <w:t xml:space="preserve">Supplementary tables</w:t>
      </w:r>
    </w:p>
    <w:bookmarkStart w:id="167" w:name="tables-for-descriptive-data-1"/>
    <w:p>
      <w:pPr>
        <w:pStyle w:val="Heading2"/>
      </w:pPr>
      <w:r>
        <w:t xml:space="preserve">Tables for descriptive data</w:t>
      </w:r>
    </w:p>
    <w:bookmarkStart w:id="160"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5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w:t>
            </w:r>
            <w:r>
              <w:t xml:space="preserve"> </w:t>
            </w:r>
            <w:r>
              <w:rPr>
                <w:bCs/>
                <w:b/>
              </w:rPr>
              <w:t xml:space="preserve">Codebook for the covariates used in the estimation of the marginal comparisons of EDCs on HRT-SE.</w:t>
            </w:r>
          </w:p>
          <w:bookmarkEnd w:id="15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the glucocorticosteroids.</w:t>
            </w:r>
          </w:p>
          <w:bookmarkEnd w:id="15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the glucocorticosteroids on HRT-SE.</w:t>
            </w:r>
          </w:p>
          <w:bookmarkEnd w:id="159"/>
        </w:tc>
      </w:tr>
    </w:tbl>
    <w:bookmarkEnd w:id="160"/>
    <w:bookmarkStart w:id="162"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w:t>
            </w:r>
            <w:r>
              <w:t xml:space="preserve"> </w:t>
            </w:r>
            <w:r>
              <w:rPr>
                <w:bCs/>
                <w:b/>
              </w:rPr>
              <w:t xml:space="preserve">Information about non-persistent EDCs, including the full compound name, the standard symbol, the used variable name, the identifier from PubChem, and the parental compound.</w:t>
            </w:r>
          </w:p>
          <w:bookmarkEnd w:id="161"/>
        </w:tc>
      </w:tr>
    </w:tbl>
    <w:bookmarkEnd w:id="162"/>
    <w:bookmarkStart w:id="166"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63"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S5:</w:t>
            </w:r>
            <w:r>
              <w:t xml:space="preserve"> </w:t>
            </w:r>
            <w:r>
              <w:rPr>
                <w:bCs/>
                <w:b/>
              </w:rPr>
              <w:t xml:space="preserve">Participants glucocorticosteroids concentrations, by cohort and overall (HELIX subcohort; 2013-2016).</w:t>
            </w:r>
          </w:p>
          <w:bookmarkEnd w:id="16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S6:</w:t>
            </w:r>
            <w:r>
              <w:t xml:space="preserve"> </w:t>
            </w:r>
            <w:r>
              <w:rPr>
                <w:bCs/>
                <w:b/>
              </w:rPr>
              <w:t xml:space="preserve">Information about the glucocorticosteroids, including the full metabolite name, the standard symbol, the identifier from the HMDB, and the CAS number.</w:t>
            </w:r>
          </w:p>
          <w:bookmarkEnd w:id="16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 expressed in nanograms per millilitre.</w:t>
                  </w:r>
                </w:p>
              </w:tc>
            </w:tr>
          </w:tbl>
          <w:p>
            <w:pPr>
              <w:jc w:val="center"/>
            </w:pPr>
            <w:pPr>
              <w:jc w:val="start"/>
              <w:spacing w:before="200"/>
              <w:pStyle w:val="ImageCaption"/>
            </w:pPr>
            <w:r>
              <w:t xml:space="preserve">Table S7:</w:t>
            </w:r>
            <w:r>
              <w:t xml:space="preserve"> </w:t>
            </w:r>
            <w:r>
              <w:rPr>
                <w:bCs/>
                <w:b/>
              </w:rPr>
              <w:t xml:space="preserve">Lower limits of quantification for the glucocorticosteroids (HELIX subcohort; 2013-2016).</w:t>
            </w:r>
          </w:p>
          <w:bookmarkEnd w:id="165"/>
        </w:tc>
      </w:tr>
    </w:tbl>
    <w:bookmarkEnd w:id="166"/>
    <w:bookmarkEnd w:id="167"/>
    <w:bookmarkStart w:id="175" w:name="tables-for-main-results"/>
    <w:p>
      <w:pPr>
        <w:pStyle w:val="Heading2"/>
      </w:pPr>
      <w:r>
        <w:t xml:space="preserve">Tables for main results</w:t>
      </w:r>
    </w:p>
    <w:bookmarkStart w:id="174"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6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S8:</w:t>
            </w:r>
            <w:r>
              <w:t xml:space="preserve"> </w:t>
            </w:r>
            <w:r>
              <w:rPr>
                <w:bCs/>
                <w:b/>
              </w:rPr>
              <w:t xml:space="preserve">Effective sample size before and after balancing weights estimation (exposures: EDCs; outcome: HRT-SE) (HELIX subcohort; 2013-2016).</w:t>
            </w:r>
          </w:p>
          <w:bookmarkEnd w:id="16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outcomes: glucocorticosteroids) (HELIX subcohort; 2013-2016).</w:t>
            </w:r>
          </w:p>
          <w:bookmarkEnd w:id="16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glucocorticosteroids; outcome: HRT-SE) (HELIX subcohort; 2013-2016).</w:t>
            </w:r>
          </w:p>
          <w:bookmarkEnd w:id="170"/>
        </w:tc>
      </w:tr>
    </w:tbl>
    <w:p/>
    <w:tbl>
      <w:tblPr>
        <w:tblStyle w:val="Table"/>
        <w:tblW w:type="pct" w:w="5000"/>
        <w:tblLook w:firstRow="0" w:lastRow="0" w:firstColumn="0" w:lastColumn="0" w:noHBand="0" w:noVBand="0" w:val="0000"/>
        <w:jc w:val="start"/>
        <w:tblLayout w:type="fixed"/>
      </w:tblPr>
      <w:tblGrid>
        <w:gridCol w:w="7920"/>
      </w:tblGrid>
      <w:tr>
        <w:tc>
          <w:tcPr/>
          <w:bookmarkStart w:id="17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Summary statistics of the estimated balancing weights (exposures: EDCs; outcome: HRT-SE)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outcomes: glucocorticosteroids) (HELIX subcohort; 2013-2016).</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glucocorticosteroids; outcome: HRT-SE) (HELIX subcohort; 2013-2016).</w:t>
            </w:r>
          </w:p>
          <w:bookmarkEnd w:id="173"/>
        </w:tc>
      </w:tr>
    </w:tbl>
    <w:bookmarkEnd w:id="174"/>
    <w:bookmarkEnd w:id="175"/>
    <w:bookmarkStart w:id="180" w:name="tables-for-other-results"/>
    <w:p>
      <w:pPr>
        <w:pStyle w:val="Heading2"/>
      </w:pPr>
      <w:r>
        <w:t xml:space="preserve">Tables for other results</w:t>
      </w:r>
    </w:p>
    <w:bookmarkStart w:id="179"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for effect modification (exposures: EDCs; outcome: HRT-SE; modifier: sex)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outcomes: glucocorticosteroids; modifier: sex)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glucocorticosteroids; outcome: HRT-SE; modifier: sex) (HELIX subcohort; 2013-2016).</w:t>
            </w:r>
          </w:p>
          <w:bookmarkEnd w:id="178"/>
        </w:tc>
      </w:tr>
    </w:tbl>
    <w:bookmarkEnd w:id="179"/>
    <w:bookmarkEnd w:id="180"/>
    <w:bookmarkEnd w:id="181"/>
    <w:bookmarkStart w:id="212" w:name="supplementary-figures"/>
    <w:p>
      <w:pPr>
        <w:pStyle w:val="Heading1"/>
      </w:pPr>
      <w:r>
        <w:t xml:space="preserve">Supplementary figures</w:t>
      </w:r>
    </w:p>
    <w:bookmarkStart w:id="197" w:name="figures-for-descriptive-data"/>
    <w:p>
      <w:pPr>
        <w:pStyle w:val="Heading2"/>
      </w:pPr>
      <w:r>
        <w:t xml:space="preserve">Figures for descriptive data</w:t>
      </w:r>
    </w:p>
    <w:bookmarkStart w:id="186"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85" w:name="suppfig-flow-pop"/>
          <w:p>
            <w:pPr>
              <w:jc w:val="center"/>
            </w:pPr>
          </w:p>
          <w:p>
            <w:pPr>
              <w:jc w:val="center"/>
            </w:pPr>
            <w:r>
              <w:drawing>
                <wp:inline>
                  <wp:extent cx="5334000" cy="3346287"/>
                  <wp:effectExtent b="0" l="0" r="0" t="0"/>
                  <wp:docPr descr="" title="" id="183" name="Picture"/>
                  <a:graphic>
                    <a:graphicData uri="http://schemas.openxmlformats.org/drawingml/2006/picture">
                      <pic:pic>
                        <pic:nvPicPr>
                          <pic:cNvPr descr="manuscript_files/figure-docx/mermaid-figure-1.png" id="184" name="Picture"/>
                          <pic:cNvPicPr>
                            <a:picLocks noChangeArrowheads="1" noChangeAspect="1"/>
                          </pic:cNvPicPr>
                        </pic:nvPicPr>
                        <pic:blipFill>
                          <a:blip r:embed="rId182"/>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thew sample size for each research question.</w:t>
            </w:r>
          </w:p>
          <w:bookmarkEnd w:id="185"/>
        </w:tc>
      </w:tr>
    </w:tbl>
    <w:bookmarkEnd w:id="186"/>
    <w:bookmarkStart w:id="191" w:name="description-of-endocrine-disruptors-1"/>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90" w:name="suppfig-desc-chems"/>
          <w:p>
            <w:pPr>
              <w:jc w:val="center"/>
            </w:pPr>
            <w:r>
              <w:drawing>
                <wp:inline>
                  <wp:extent cx="5334000" cy="6223000"/>
                  <wp:effectExtent b="0" l="0" r="0" t="0"/>
                  <wp:docPr descr="" title="" id="188" name="Picture"/>
                  <a:graphic>
                    <a:graphicData uri="http://schemas.openxmlformats.org/drawingml/2006/picture">
                      <pic:pic>
                        <pic:nvPicPr>
                          <pic:cNvPr descr="manuscript_files/figure-docx/desc-chems-lod-1.png" id="189" name="Picture"/>
                          <pic:cNvPicPr>
                            <a:picLocks noChangeArrowheads="1" noChangeAspect="1"/>
                          </pic:cNvPicPr>
                        </pic:nvPicPr>
                        <pic:blipFill>
                          <a:blip r:embed="rId18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90"/>
        </w:tc>
      </w:tr>
    </w:tbl>
    <w:bookmarkEnd w:id="191"/>
    <w:bookmarkStart w:id="196" w:name="description-of-glucocorticosteroids-1"/>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95" w:name="suppfig-desc-mets"/>
          <w:p>
            <w:pPr>
              <w:jc w:val="center"/>
            </w:pPr>
            <w:r>
              <w:drawing>
                <wp:inline>
                  <wp:extent cx="5334000" cy="6223000"/>
                  <wp:effectExtent b="0" l="0" r="0" t="0"/>
                  <wp:docPr descr="" title="" id="193" name="Picture"/>
                  <a:graphic>
                    <a:graphicData uri="http://schemas.openxmlformats.org/drawingml/2006/picture">
                      <pic:pic>
                        <pic:nvPicPr>
                          <pic:cNvPr descr="manuscript_files/figure-docx/desc-mets-lod-1.png" id="194" name="Picture"/>
                          <pic:cNvPicPr>
                            <a:picLocks noChangeArrowheads="1" noChangeAspect="1"/>
                          </pic:cNvPicPr>
                        </pic:nvPicPr>
                        <pic:blipFill>
                          <a:blip r:embed="rId192"/>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195"/>
        </w:tc>
      </w:tr>
    </w:tbl>
    <w:bookmarkEnd w:id="196"/>
    <w:bookmarkEnd w:id="197"/>
    <w:bookmarkStart w:id="211" w:name="figures-for-other-results"/>
    <w:p>
      <w:pPr>
        <w:pStyle w:val="Heading2"/>
      </w:pPr>
      <w:r>
        <w:t xml:space="preserve">Figures for other results</w:t>
      </w:r>
    </w:p>
    <w:bookmarkStart w:id="21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1" w:name="suppfig-marginal-1sa"/>
          <w:p>
            <w:pPr>
              <w:jc w:val="center"/>
            </w:pPr>
            <w:r>
              <w:drawing>
                <wp:inline>
                  <wp:extent cx="5334000" cy="6223000"/>
                  <wp:effectExtent b="0" l="0" r="0" t="0"/>
                  <wp:docPr descr="" title="" id="199" name="Picture"/>
                  <a:graphic>
                    <a:graphicData uri="http://schemas.openxmlformats.org/drawingml/2006/picture">
                      <pic:pic>
                        <pic:nvPicPr>
                          <pic:cNvPr descr="manuscript_files/figure-docx/marginal-1sa-1.png" id="200" name="Picture"/>
                          <pic:cNvPicPr>
                            <a:picLocks noChangeArrowheads="1" noChangeAspect="1"/>
                          </pic:cNvPicPr>
                        </pic:nvPicPr>
                        <pic:blipFill>
                          <a:blip r:embed="rId19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(exposures: EDCs;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5" w:name="suppfig-marginal-2sa"/>
          <w:p>
            <w:pPr>
              <w:jc w:val="center"/>
            </w:pPr>
            <w:r>
              <w:drawing>
                <wp:inline>
                  <wp:extent cx="5334000" cy="7112000"/>
                  <wp:effectExtent b="0" l="0" r="0" t="0"/>
                  <wp:docPr descr="" title="" id="203" name="Picture"/>
                  <a:graphic>
                    <a:graphicData uri="http://schemas.openxmlformats.org/drawingml/2006/picture">
                      <pic:pic>
                        <pic:nvPicPr>
                          <pic:cNvPr descr="manuscript_files/figure-docx/marginal-2sa-1.png" id="204" name="Picture"/>
                          <pic:cNvPicPr>
                            <a:picLocks noChangeArrowheads="1" noChangeAspect="1"/>
                          </pic:cNvPicPr>
                        </pic:nvPicPr>
                        <pic:blipFill>
                          <a:blip r:embed="rId20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(exposures: EDCs; outcomes: glucocorticosteroids;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3sa"/>
          <w:p>
            <w:pPr>
              <w:jc w:val="center"/>
            </w:pPr>
            <w:r>
              <w:drawing>
                <wp:inline>
                  <wp:extent cx="5334000" cy="4445000"/>
                  <wp:effectExtent b="0" l="0" r="0" t="0"/>
                  <wp:docPr descr="" title="" id="207" name="Picture"/>
                  <a:graphic>
                    <a:graphicData uri="http://schemas.openxmlformats.org/drawingml/2006/picture">
                      <pic:pic>
                        <pic:nvPicPr>
                          <pic:cNvPr descr="manuscript_files/figure-docx/marginal-3sa-1.png" id="208" name="Picture"/>
                          <pic:cNvPicPr>
                            <a:picLocks noChangeArrowheads="1" noChangeAspect="1"/>
                          </pic:cNvPicPr>
                        </pic:nvPicPr>
                        <pic:blipFill>
                          <a:blip r:embed="rId20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(exposures: glucocorticosteroids; outcome: HRT-SE; modifier: sex)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41" Target="media/rId141.png" /><Relationship Type="http://schemas.openxmlformats.org/officeDocument/2006/relationships/image" Id="rId198" Target="media/rId198.png" /><Relationship Type="http://schemas.openxmlformats.org/officeDocument/2006/relationships/image" Id="rId145" Target="media/rId145.png" /><Relationship Type="http://schemas.openxmlformats.org/officeDocument/2006/relationships/image" Id="rId202" Target="media/rId202.png" /><Relationship Type="http://schemas.openxmlformats.org/officeDocument/2006/relationships/image" Id="rId149" Target="media/rId149.png" /><Relationship Type="http://schemas.openxmlformats.org/officeDocument/2006/relationships/image" Id="rId206" Target="media/rId206.png" /><Relationship Type="http://schemas.openxmlformats.org/officeDocument/2006/relationships/image" Id="rId182" Target="media/rId182.png" /><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2024-02-07T15:30:46Z</dcterms:created>
  <dcterms:modified xsi:type="dcterms:W3CDTF">2024-02-07T15:30:46Z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