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13.png" ContentType="image/png"/>
  <Override PartName="/word/media/rId157.png" ContentType="image/png"/>
  <Override PartName="/word/media/rId219.png" ContentType="image/png"/>
  <Override PartName="/word/media/rId161.png" ContentType="image/png"/>
  <Override PartName="/word/media/rId223.png" ContentType="image/png"/>
  <Override PartName="/word/media/rId165.png" ContentType="image/png"/>
  <Override PartName="/word/media/rId227.png" ContentType="image/png"/>
  <Override PartName="/word/media/rId2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children using data from the Human Early-Life Exposome (HELIX) cohort. We used the parametric g-formula to estimate effects between EDCs, glucocorticosteroids, and hit reaction time standard error (HRT-SE), a measure of inattention from the Attention Network Test (ANT), and tested for possible effect modification by sex. 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indicating lower attention.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inattention in children and with the homeostasis of the HPA axis.</w:t>
      </w:r>
    </w:p>
    <w:p>
      <w:r>
        <w:br w:type="page"/>
      </w:r>
    </w:p>
    <w:p>
      <w:pPr>
        <w:pStyle w:val="BodyText"/>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Multiple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infancy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also been associated with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Attentional function</w:t>
      </w:r>
    </w:p>
    <w:p>
      <w:pPr>
        <w:pStyle w:val="FirstParagraph"/>
      </w:pPr>
      <w:r>
        <w:t xml:space="preserve">Cognitive and motor function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of attentional function.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 times,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Common confounders were cohort, ethnicity, sex, age, height, weight, and head circumference of the child, consumption of fish, fruit, vegetables, organic food, anf fast food,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3</w:t>
        </w:r>
      </w:hyperlink>
      <w:r>
        <w:t xml:space="preserve">, </w:t>
      </w:r>
      <w:hyperlink w:anchor="supptbl-codebook-2">
        <w:r>
          <w:rPr>
            <w:rStyle w:val="Hyperlink"/>
          </w:rPr>
          <w:t xml:space="preserve">4</w:t>
        </w:r>
      </w:hyperlink>
      <w:r>
        <w:t xml:space="preserve">, </w:t>
      </w:r>
      <w:hyperlink w:anchor="supptbl-codebook-3">
        <w:r>
          <w:rPr>
            <w:rStyle w:val="Hyperlink"/>
          </w:rPr>
          <w:t xml:space="preserve">5</w:t>
        </w:r>
      </w:hyperlink>
      <w:r>
        <w:t xml:space="preserve">.</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excluded from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
          <w:iCs/>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43</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44</w:t>
        </w:r>
      </w:hyperlink>
      <w:r>
        <w:t xml:space="preserve">,</w:t>
      </w:r>
      <w:hyperlink w:anchor="ref-ZeileisKollGraham:2020">
        <w:r>
          <w:rPr>
            <w:rStyle w:val="Hyperlink"/>
          </w:rPr>
          <w:t xml:space="preserve">45</w:t>
        </w:r>
      </w:hyperlink>
      <w:r>
        <w:t xml:space="preserve">)</w:t>
      </w:r>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Effect-modification analysis</w:t>
      </w:r>
    </w:p>
    <w:p>
      <w:pPr>
        <w:pStyle w:val="FirstParagraph"/>
      </w:pPr>
      <w:r>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S7</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S8</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confidence intervals (CIs) included the null effect, though. Significant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2</w:t>
        </w:r>
      </w:hyperlink>
      <w:r>
        <w:t xml:space="preserve"> </w:t>
      </w:r>
      <w:r>
        <w:t xml:space="preserve">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3</w:t>
        </w:r>
      </w:hyperlink>
      <w:r>
        <w:t xml:space="preserve"> </w:t>
      </w:r>
      <w:r>
        <w:t xml:space="preserve">presents the forest plot for the MCs on the logarithmic scale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on the logarithmic scale for females and males, for the EDCs on the glucocorticosteroids and HRT-SE. For HRT-SE, significant differences were present for the phenol OXBE (MC: 0.032 and</w:t>
      </w:r>
      <w:r>
        <w:t xml:space="preserve"> </w:t>
      </w:r>
      <m:oMath>
        <m:r>
          <m:t>95</m:t>
        </m:r>
        <m:r>
          <m:rPr>
            <m:sty m:val="p"/>
          </m:rPr>
          <m:t>%</m:t>
        </m:r>
      </m:oMath>
      <w:r>
        <w:t xml:space="preserve"> </w:t>
      </w:r>
      <w:r>
        <w:t xml:space="preserve">CI: (0.004, 0.061)) and the phthalate metabolites MEP (MC: -0.053 and</w:t>
      </w:r>
      <w:r>
        <w:t xml:space="preserve"> </w:t>
      </w:r>
      <m:oMath>
        <m:r>
          <m:t>95</m:t>
        </m:r>
        <m:r>
          <m:rPr>
            <m:sty m:val="p"/>
          </m:rPr>
          <m:t>%</m:t>
        </m:r>
      </m:oMath>
      <w:r>
        <w:t xml:space="preserve"> </w:t>
      </w:r>
      <w:r>
        <w:t xml:space="preserve">CI: (-0.138, 0.033)) and MbZP (MC: -0.066 and</w:t>
      </w:r>
      <w:r>
        <w:t xml:space="preserve"> </w:t>
      </w:r>
      <m:oMath>
        <m:r>
          <m:t>95</m:t>
        </m:r>
        <m:r>
          <m:rPr>
            <m:sty m:val="p"/>
          </m:rPr>
          <m:t>%</m:t>
        </m:r>
      </m:oMath>
      <w:r>
        <w:t xml:space="preserve"> </w:t>
      </w:r>
      <w:r>
        <w:t xml:space="preserve">CI: (-0.126, -0.007)). For the glucocorticosteroids, significant differences were present across all three classes of EDCs and for all outcomes. The largest differences were attributable to the OP pesticides DMTP (cortisol production, MC: -0.21 and</w:t>
      </w:r>
      <w:r>
        <w:t xml:space="preserve"> </w:t>
      </w:r>
      <m:oMath>
        <m:r>
          <m:t>95</m:t>
        </m:r>
        <m:r>
          <m:rPr>
            <m:sty m:val="p"/>
          </m:rPr>
          <m:t>%</m:t>
        </m:r>
      </m:oMath>
      <w:r>
        <w:t xml:space="preserve"> </w:t>
      </w:r>
      <w:r>
        <w:t xml:space="preserve">CI: (-0.326, -0.094)) and DETP (corticosterone production, (MC: -0.16 and</w:t>
      </w:r>
      <w:r>
        <w:t xml:space="preserve"> </w:t>
      </w:r>
      <m:oMath>
        <m:r>
          <m:t>95</m:t>
        </m:r>
        <m:r>
          <m:rPr>
            <m:sty m:val="p"/>
          </m:rPr>
          <m:t>%</m:t>
        </m:r>
      </m:oMath>
      <w:r>
        <w:t xml:space="preserve"> </w:t>
      </w:r>
      <w:r>
        <w:t xml:space="preserve">CI: (-0.332, 0.012)); cortisone production, (MC: -0.096 and</w:t>
      </w:r>
      <w:r>
        <w:t xml:space="preserve"> </w:t>
      </w:r>
      <m:oMath>
        <m:r>
          <m:t>95</m:t>
        </m:r>
        <m:r>
          <m:rPr>
            <m:sty m:val="p"/>
          </m:rPr>
          <m:t>%</m:t>
        </m:r>
      </m:oMath>
      <w:r>
        <w:t xml:space="preserve"> </w:t>
      </w:r>
      <w:r>
        <w:t xml:space="preserve">CI: (-0.269, 0.076))). The forest plots of the individual MCs are presented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on the logarithmic scale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BodyText"/>
      </w:pPr>
      <w:r>
        <w:t xml:space="preserve">To the best of our knowledge, no other study has investigated the effects of childhood exposure to multiple classes of non-persistent EDCs in relation to attentional function.</w:t>
      </w:r>
      <w:r>
        <w:t xml:space="preserve"> </w:t>
      </w:r>
      <w:r>
        <w:t xml:space="preserve">More generally, the literature on childhood exposure to non-persistent EDCs and other neurodevelopment outcomes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ShoaffCoullWeuve:2020">
        <w:r>
          <w:rPr>
            <w:rStyle w:val="Hyperlink"/>
          </w:rPr>
          <w:t xml:space="preserve">15</w:t>
        </w:r>
      </w:hyperlink>
      <w:r>
        <w:t xml:space="preserve">,</w:t>
      </w:r>
      <w:hyperlink w:anchor="ref-VilmandBeckBilenberg:2023">
        <w:r>
          <w:rPr>
            <w:rStyle w:val="Hyperlink"/>
          </w:rPr>
          <w:t xml:space="preserve">17</w:t>
        </w:r>
      </w:hyperlink>
      <w:r>
        <w:t xml:space="preserve">,</w:t>
      </w:r>
      <w:hyperlink w:anchor="ref-LiPapandonatosCalafat:2019">
        <w:r>
          <w:rPr>
            <w:rStyle w:val="Hyperlink"/>
          </w:rPr>
          <w:t xml:space="preserve">46</w:t>
        </w:r>
      </w:hyperlink>
      <w:r>
        <w:t xml:space="preserve">–</w:t>
      </w:r>
      <w:hyperlink w:anchor="ref-JankowskaPolanskaHanke:2019">
        <w:r>
          <w:rPr>
            <w:rStyle w:val="Hyperlink"/>
          </w:rPr>
          <w:t xml:space="preserve">48</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w:t>
      </w:r>
      <w:r>
        <w:t xml:space="preserve"> </w:t>
      </w:r>
      <w:r>
        <w:t xml:space="preserve">González-Alzaga et al. and Cartier et al. evaluated cross-sectional associations between dialkylphosphate (DAP) metabolites and subtests of the Wechsler Intelligence Scale for Children</w:t>
      </w:r>
      <w:r>
        <w:t xml:space="preserve"> </w:t>
      </w:r>
      <w:r>
        <w:t xml:space="preserve">(</w:t>
      </w:r>
      <w:hyperlink w:anchor="ref-WechslerKodama:2003">
        <w:r>
          <w:rPr>
            <w:rStyle w:val="Hyperlink"/>
          </w:rPr>
          <w:t xml:space="preserve">49</w:t>
        </w:r>
      </w:hyperlink>
      <w:r>
        <w:t xml:space="preserve">)</w:t>
      </w:r>
      <w:r>
        <w:t xml:space="preserve"> </w:t>
      </w:r>
      <w:r>
        <w:t xml:space="preserve">in European children with ages between 6 and 11 years. Higher levels of DAP metabolites (DMP, DMTP, DMDTP, DEP, DETP, and DEDTP) were associated with lower scores of intelligence quotient (IQ) and verbal comprehension, especially in boys</w:t>
      </w:r>
      <w:r>
        <w:t xml:space="preserve"> </w:t>
      </w:r>
      <w:r>
        <w:t xml:space="preserve">(</w:t>
      </w:r>
      <w:hyperlink w:anchor="X2a5c5c17453fffe785b7f0bcffd564283892c6c">
        <w:r>
          <w:rPr>
            <w:rStyle w:val="Hyperlink"/>
          </w:rPr>
          <w:t xml:space="preserve">4</w:t>
        </w:r>
      </w:hyperlink>
      <w:r>
        <w:t xml:space="preserve">)</w:t>
      </w:r>
      <w:r>
        <w:t xml:space="preserve">, while higher levels of diethylphosphate metabolites (DEP, DETP, DEDTP) were associated with lower working memory scores</w:t>
      </w:r>
      <w:r>
        <w:t xml:space="preserve"> </w:t>
      </w:r>
      <w:r>
        <w:t xml:space="preserve">(</w:t>
      </w:r>
      <w:hyperlink w:anchor="Xa0cc0fdd8206e54b0a9b4bdcd9d2102efd24cb7">
        <w:r>
          <w:rPr>
            <w:rStyle w:val="Hyperlink"/>
          </w:rPr>
          <w:t xml:space="preserve">6</w:t>
        </w:r>
      </w:hyperlink>
      <w:r>
        <w:t xml:space="preserve">)</w:t>
      </w:r>
      <w:r>
        <w:t xml:space="preserve">.</w:t>
      </w:r>
      <w:r>
        <w:t xml:space="preserve"> </w:t>
      </w:r>
      <w:r>
        <w:t xml:space="preserve">There is also preliminary evidence of a possible association between exposure to certain OP pesticides and Attention-Deficit / Hyperactivity Disorder (ADHD) in children</w:t>
      </w:r>
      <w:r>
        <w:t xml:space="preserve"> </w:t>
      </w:r>
      <w:r>
        <w:t xml:space="preserve">(</w:t>
      </w:r>
      <w:hyperlink w:anchor="ref-BouchardBellingerWright:2010">
        <w:r>
          <w:rPr>
            <w:rStyle w:val="Hyperlink"/>
          </w:rPr>
          <w:t xml:space="preserve">3</w:t>
        </w:r>
      </w:hyperlink>
      <w:r>
        <w:t xml:space="preserve">,</w:t>
      </w:r>
      <w:hyperlink w:anchor="ref-YuDuChiou:2016">
        <w:r>
          <w:rPr>
            <w:rStyle w:val="Hyperlink"/>
          </w:rPr>
          <w:t xml:space="preserve">8</w:t>
        </w:r>
      </w:hyperlink>
      <w:r>
        <w:t xml:space="preserve">)</w:t>
      </w:r>
      <w:r>
        <w:t xml:space="preserve">. Specifically, Bouchard et al. found evidence of a cross-sectional association between dimethyl alkylphosphate metabolites (DMP, DMTP, and DMDTP) and ADHD in children aged 8 to 15 years from National Health and Nutrition Examination Survey (NHANES), while Yu et al. found a dose-response relationship between DMP and ADHD in Taiwanese children aged 4 to 15 years.</w:t>
      </w:r>
    </w:p>
    <w:p>
      <w:pPr>
        <w:pStyle w:val="BodyText"/>
      </w:pPr>
      <w:r>
        <w:t xml:space="preserve">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r>
        <w:t xml:space="preserve"> </w:t>
      </w:r>
      <w:r>
        <w:t xml:space="preserve">(</w:t>
      </w:r>
      <w:hyperlink w:anchor="ref-HuangChenSu:2015">
        <w:r>
          <w:rPr>
            <w:rStyle w:val="Hyperlink"/>
          </w:rPr>
          <w:t xml:space="preserve">5</w:t>
        </w:r>
      </w:hyperlink>
      <w:r>
        <w:t xml:space="preserve">)</w:t>
      </w:r>
      <w:r>
        <w:t xml:space="preserve">, lower scores of IQ and verbal intelligence, more omission errors (a measure of inattention), and higher scores of response time variability (a measure of sustained attention) in 6-year old Korean children</w:t>
      </w:r>
      <w:r>
        <w:t xml:space="preserve"> </w:t>
      </w:r>
      <w:r>
        <w:t xml:space="preserve">(</w:t>
      </w:r>
      <w:hyperlink w:anchor="ref-KimHongShin:2017">
        <w:r>
          <w:rPr>
            <w:rStyle w:val="Hyperlink"/>
          </w:rPr>
          <w:t xml:space="preserve">10</w:t>
        </w:r>
      </w:hyperlink>
      <w:r>
        <w:t xml:space="preserve">)</w:t>
      </w:r>
      <w:r>
        <w:t xml:space="preserve">, poorer fine motor skills in preadolescent boys</w:t>
      </w:r>
      <w:r>
        <w:t xml:space="preserve"> </w:t>
      </w:r>
      <w:r>
        <w:t xml:space="preserve">(</w:t>
      </w:r>
      <w:hyperlink w:anchor="ref-BalalianWhyattLiu:2019">
        <w:r>
          <w:rPr>
            <w:rStyle w:val="Hyperlink"/>
          </w:rPr>
          <w:t xml:space="preserve">47</w:t>
        </w:r>
      </w:hyperlink>
      <w:r>
        <w:t xml:space="preserve">)</w:t>
      </w:r>
      <w:r>
        <w:t xml:space="preserve">, and lower intelligence scores in 7-year old children</w:t>
      </w:r>
      <w:r>
        <w:t xml:space="preserve"> </w:t>
      </w:r>
      <w:r>
        <w:t xml:space="preserve">(</w:t>
      </w:r>
      <w:hyperlink w:anchor="ref-VilmandBeckBilenberg:2023">
        <w:r>
          <w:rPr>
            <w:rStyle w:val="Hyperlink"/>
          </w:rPr>
          <w:t xml:space="preserve">17</w:t>
        </w:r>
      </w:hyperlink>
      <w:r>
        <w:t xml:space="preserve">)</w:t>
      </w:r>
      <w:r>
        <w:t xml:space="preserve">. Further associations were found for MEOHP with lower scores of IQ</w:t>
      </w:r>
      <w:r>
        <w:t xml:space="preserve"> </w:t>
      </w:r>
      <w:r>
        <w:t xml:space="preserve">(</w:t>
      </w:r>
      <w:hyperlink w:anchor="ref-HuangChenSu:2015">
        <w:r>
          <w:rPr>
            <w:rStyle w:val="Hyperlink"/>
          </w:rPr>
          <w:t xml:space="preserve">5</w:t>
        </w:r>
      </w:hyperlink>
      <w:r>
        <w:t xml:space="preserve">)</w:t>
      </w:r>
      <w:r>
        <w:t xml:space="preserve"> </w:t>
      </w:r>
      <w:r>
        <w:t xml:space="preserve">and verbal intelligence in Taiwanese children aged 6 to 12 years</w:t>
      </w:r>
      <w:r>
        <w:t xml:space="preserve"> </w:t>
      </w:r>
      <w:r>
        <w:t xml:space="preserve">(</w:t>
      </w:r>
      <w:hyperlink w:anchor="ref-HuangTsaiChen:2017">
        <w:r>
          <w:rPr>
            <w:rStyle w:val="Hyperlink"/>
          </w:rPr>
          <w:t xml:space="preserve">9</w:t>
        </w:r>
      </w:hyperlink>
      <w:r>
        <w:t xml:space="preserve">)</w:t>
      </w:r>
      <w:r>
        <w:t xml:space="preserve">, and for dibutyl phthalate metabolites (MnBP and MiBP) with impaired verbal intelligence</w:t>
      </w:r>
      <w:r>
        <w:t xml:space="preserve"> </w:t>
      </w:r>
      <w:r>
        <w:t xml:space="preserve">(</w:t>
      </w:r>
      <w:hyperlink w:anchor="ref-HuangTsaiChen:2017">
        <w:r>
          <w:rPr>
            <w:rStyle w:val="Hyperlink"/>
          </w:rPr>
          <w:t xml:space="preserve">9</w:t>
        </w:r>
      </w:hyperlink>
      <w:r>
        <w:t xml:space="preserve">)</w:t>
      </w:r>
      <w:r>
        <w:t xml:space="preserve">.</w:t>
      </w:r>
      <w:r>
        <w:t xml:space="preserve"> </w:t>
      </w:r>
      <w:r>
        <w:t xml:space="preserve">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especially in boys</w:t>
      </w:r>
      <w:r>
        <w:t xml:space="preserve"> </w:t>
      </w:r>
      <w:r>
        <w:t xml:space="preserve">(</w:t>
      </w:r>
      <w:hyperlink w:anchor="ref-ShoaffCoullWeuve:2020">
        <w:r>
          <w:rPr>
            <w:rStyle w:val="Hyperlink"/>
          </w:rPr>
          <w:t xml:space="preserve">15</w:t>
        </w:r>
      </w:hyperlink>
      <w:r>
        <w:t xml:space="preserve">)</w:t>
      </w:r>
      <w:r>
        <w:t xml:space="preserve">.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BodyText"/>
      </w:pPr>
      <w:r>
        <w:t xml:space="preserve">Among phenols, some studies provide preliminary evidence of an association between BPA and ADHD in children aged 8 to 15 years</w:t>
      </w:r>
      <w:r>
        <w:t xml:space="preserve"> </w:t>
      </w:r>
      <w:r>
        <w:t xml:space="preserve">(</w:t>
      </w:r>
      <w:hyperlink w:anchor="ref-TewarAuingerBraun:2016">
        <w:r>
          <w:rPr>
            <w:rStyle w:val="Hyperlink"/>
          </w:rPr>
          <w:t xml:space="preserve">7</w:t>
        </w:r>
      </w:hyperlink>
      <w:r>
        <w:t xml:space="preserve">)</w:t>
      </w:r>
      <w:r>
        <w:t xml:space="preserve"> </w:t>
      </w:r>
      <w:r>
        <w:t xml:space="preserve">and in a case-control study of children aged 6 to 12 years</w:t>
      </w:r>
      <w:r>
        <w:t xml:space="preserve"> </w:t>
      </w:r>
      <w:r>
        <w:t xml:space="preserve">(</w:t>
      </w:r>
      <w:hyperlink w:anchor="ref-LiZhangKuang:2018">
        <w:r>
          <w:rPr>
            <w:rStyle w:val="Hyperlink"/>
          </w:rPr>
          <w:t xml:space="preserve">13</w:t>
        </w:r>
      </w:hyperlink>
      <w:r>
        <w:t xml:space="preserve">)</w:t>
      </w:r>
      <w:r>
        <w:t xml:space="preserve">, especially in boys. Except for working memory, there was no evidence of an association between BPA and cognitive abilities in Spanish boys aged 9 to 11 years</w:t>
      </w:r>
      <w:r>
        <w:t xml:space="preserve"> </w:t>
      </w:r>
      <w:r>
        <w:t xml:space="preserve">(</w:t>
      </w:r>
      <w:hyperlink w:anchor="X71fca68020aad3c79232160399444b9923ab76e">
        <w:r>
          <w:rPr>
            <w:rStyle w:val="Hyperlink"/>
          </w:rPr>
          <w:t xml:space="preserve">14</w:t>
        </w:r>
      </w:hyperlink>
      <w:r>
        <w:t xml:space="preserve">)</w:t>
      </w:r>
      <w:r>
        <w:t xml:space="preserve">. We did not observe an association between BPA and attention function in the present study, but this study is the first to suggest that childhood paraben (MEPA) exposure may be associated with attentional function.</w:t>
      </w:r>
    </w:p>
    <w:p>
      <w:pPr>
        <w:pStyle w:val="BodyText"/>
      </w:pPr>
      <w:r>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Repeated measures up to 15 months of age of the phthalate metabolites MEHHP, MEOHP, MiBP, and MnBP showed positive associations with free cortisol in urine in Korean children</w:t>
      </w:r>
      <w:r>
        <w:t xml:space="preserve"> </w:t>
      </w:r>
      <w:r>
        <w:t xml:space="preserve">(</w:t>
      </w:r>
      <w:hyperlink w:anchor="ref-KimLeeMoon:2018">
        <w:r>
          <w:rPr>
            <w:rStyle w:val="Hyperlink"/>
          </w:rPr>
          <w:t xml:space="preserve">18</w:t>
        </w:r>
      </w:hyperlink>
      <w:r>
        <w:t xml:space="preserve">)</w:t>
      </w:r>
      <w:r>
        <w:t xml:space="preserve">.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r>
        <w:t xml:space="preserve"> </w:t>
      </w:r>
      <w:r>
        <w:t xml:space="preserve">(</w:t>
      </w:r>
      <w:hyperlink w:anchor="ref-SunLiJin:2018">
        <w:r>
          <w:rPr>
            <w:rStyle w:val="Hyperlink"/>
          </w:rPr>
          <w:t xml:space="preserve">19</w:t>
        </w:r>
      </w:hyperlink>
      <w:r>
        <w:t xml:space="preserve">)</w:t>
      </w:r>
      <w:r>
        <w:t xml:space="preserve">. Time- and chemical-dependent sex differences were also found: during the third trimester, MEHHP and MEOHP were positively associated with cortisol in females, while negatively associated in males</w:t>
      </w:r>
      <w:r>
        <w:t xml:space="preserve"> </w:t>
      </w:r>
      <w:r>
        <w:t xml:space="preserve">(</w:t>
      </w:r>
      <w:hyperlink w:anchor="ref-SunLiJin:2018">
        <w:r>
          <w:rPr>
            <w:rStyle w:val="Hyperlink"/>
          </w:rPr>
          <w:t xml:space="preserve">19</w:t>
        </w:r>
      </w:hyperlink>
      <w:r>
        <w:t xml:space="preserve">)</w:t>
      </w:r>
      <w:r>
        <w:t xml:space="preserve">. In a longitudinal study, a mixture of several phthalate metabolites, driven by MEP, MiBP, and MBzP, measured in childhood, showed a positive association with hair cortisol measured at 12 years of age</w:t>
      </w:r>
      <w:r>
        <w:t xml:space="preserve"> </w:t>
      </w:r>
      <w:r>
        <w:t xml:space="preserve">(</w:t>
      </w:r>
      <w:hyperlink w:anchor="ref-SearsLiuLanphear:2023">
        <w:r>
          <w:rPr>
            <w:rStyle w:val="Hyperlink"/>
          </w:rPr>
          <w:t xml:space="preserve">20</w:t>
        </w:r>
      </w:hyperlink>
      <w:r>
        <w:t xml:space="preserve">)</w:t>
      </w:r>
      <w:r>
        <w:t xml:space="preserve">. Our findings also indicate associations between certain phthalate metabolites (MEHP, oh-MiNP, and oxo-MiNP) and glucocorticosteroids, but differences in the exposure assessment time points and in the biological matrices used for glucocorticosteroids determinations make a direct comparison difficult.</w:t>
      </w:r>
    </w:p>
    <w:p>
      <w:pPr>
        <w:pStyle w:val="BodyText"/>
      </w:pPr>
      <w:r>
        <w:t xml:space="preserve">Adding to these epidemiological studies, previous toxicological research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50</w:t>
        </w:r>
      </w:hyperlink>
      <w:r>
        <w:t xml:space="preserve">,</w:t>
      </w:r>
      <w:hyperlink w:anchor="ref-MaLianDong:2011">
        <w:r>
          <w:rPr>
            <w:rStyle w:val="Hyperlink"/>
          </w:rPr>
          <w:t xml:space="preserve">51</w:t>
        </w:r>
      </w:hyperlink>
      <w:r>
        <w:t xml:space="preserve">)</w:t>
      </w:r>
      <w:r>
        <w:t xml:space="preserve">. There is also</w:t>
      </w:r>
      <w:r>
        <w:t xml:space="preserve"> </w:t>
      </w:r>
      <w:r>
        <w:rPr>
          <w:i/>
          <w:iCs/>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52</w:t>
        </w:r>
      </w:hyperlink>
      <w:r>
        <w:t xml:space="preserve">,</w:t>
      </w:r>
      <w:hyperlink w:anchor="ref-YangLiRen:2019">
        <w:r>
          <w:rPr>
            <w:rStyle w:val="Hyperlink"/>
          </w:rPr>
          <w:t xml:space="preserve">53</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w:t>
      </w:r>
    </w:p>
    <w:p>
      <w:pPr>
        <w:pStyle w:val="BodyText"/>
      </w:pPr>
      <w:r>
        <w:t xml:space="preserve">Our findings should be interpreted in light of the following strengths and limitations. Strengths include its relative large sample size and its inclusion of multiple classes of non-persistent EDCs. Further, this study used pooled urine samples for chemical assessment to obtain more representative long-term exposures, since it is known that these specific EDCs have very short half-lives</w:t>
      </w:r>
      <w:r>
        <w:t xml:space="preserve"> </w:t>
      </w:r>
      <w:r>
        <w:t xml:space="preserve">(</w:t>
      </w:r>
      <w:hyperlink w:anchor="ref-PerrierGiorgis-AllemandSlama:2016">
        <w:r>
          <w:rPr>
            <w:rStyle w:val="Hyperlink"/>
          </w:rPr>
          <w:t xml:space="preserve">54</w:t>
        </w:r>
      </w:hyperlink>
      <w:r>
        <w:t xml:space="preserve">,</w:t>
      </w:r>
      <w:hyperlink w:anchor="ref-CasasBasaganaSakhi:2018">
        <w:r>
          <w:rPr>
            <w:rStyle w:val="Hyperlink"/>
          </w:rPr>
          <w:t xml:space="preserve">55</w:t>
        </w:r>
      </w:hyperlink>
      <w:r>
        <w:t xml:space="preserve">)</w:t>
      </w:r>
      <w:r>
        <w:t xml:space="preserve">. We decided to model both the</w:t>
      </w:r>
      <w:r>
        <w:t xml:space="preserve"> </w:t>
      </w:r>
      <w:r>
        <w:rPr>
          <w:i/>
          <w:iCs/>
        </w:rPr>
        <w:t xml:space="preserve">treatment</w:t>
      </w:r>
      <w:r>
        <w:t xml:space="preserve"> </w:t>
      </w:r>
      <w:r>
        <w:t xml:space="preserve">mechanisms, for the estimation of balancing weights, and the outcomes, with traditional covariates adjustment, to try to obtain</w:t>
      </w:r>
      <w:r>
        <w:t xml:space="preserve"> </w:t>
      </w:r>
      <w:r>
        <w:rPr>
          <w:i/>
          <w:iCs/>
        </w:rPr>
        <w:t xml:space="preserve">doubly robust</w:t>
      </w:r>
      <w:r>
        <w:t xml:space="preserve"> </w:t>
      </w:r>
      <w:r>
        <w:t xml:space="preserve">effect estimates. Finally, we decided not to interpret our results by focusing on the estimated coefficients of possibly misspecified regression models, but by making use of the g-computation procedure.</w:t>
      </w:r>
    </w:p>
    <w:p>
      <w:pPr>
        <w:pStyle w:val="BodyText"/>
      </w:pPr>
      <w:r>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There is further the possibility of misspecification of the outcome model, although we included a spline of the exposure to relax some of the linearity assumptions.</w:t>
      </w:r>
    </w:p>
    <w:p>
      <w:pPr>
        <w:pStyle w:val="BodyText"/>
      </w:pPr>
      <w:r>
        <w:t xml:space="preserve">In conclusion, in a study of 1,297 children from 6 European birth cohorts, we observed that (i) exposure to non-persistent EDCs might have short-term effects on HRT-SE, (ii) exposure to non-persistent EDCs might disrupt the HPA axis, and (iii) disruption of the HPA axis might have short-term, sex-specific effects on HRT-SE.</w:t>
      </w:r>
    </w:p>
    <w:p>
      <w:r>
        <w:br w:type="page"/>
      </w:r>
    </w:p>
    <w:bookmarkEnd w:id="35"/>
    <w:bookmarkStart w:id="145" w:name="references"/>
    <w:p>
      <w:pPr>
        <w:pStyle w:val="Heading1"/>
      </w:pPr>
      <w:r>
        <w:t xml:space="preserve">References</w:t>
      </w:r>
    </w:p>
    <w:bookmarkStart w:id="144"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
          <w:iCs/>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
          <w:iCs/>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
          <w:iCs/>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
          <w:iCs/>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
          <w:iCs/>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
          <w:iCs/>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
          <w:iCs/>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
          <w:iCs/>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Arel-Bundock:2023"/>
    <w:p>
      <w:pPr>
        <w:pStyle w:val="Bibliography"/>
      </w:pPr>
      <w:r>
        <w:t xml:space="preserve">43.</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7">
        <w:r>
          <w:rPr>
            <w:rStyle w:val="Hyperlink"/>
          </w:rPr>
          <w:t xml:space="preserve">https://marginaleffects.com/</w:t>
        </w:r>
      </w:hyperlink>
      <w:r>
        <w:t xml:space="preserve">)</w:t>
      </w:r>
    </w:p>
    <w:bookmarkEnd w:id="118"/>
    <w:bookmarkStart w:id="120" w:name="ref-Zeileis:2004"/>
    <w:p>
      <w:pPr>
        <w:pStyle w:val="Bibliography"/>
      </w:pPr>
      <w:r>
        <w:t xml:space="preserve">44.</w:t>
      </w:r>
      <w:r>
        <w:t xml:space="preserve"> </w:t>
      </w:r>
      <w:r>
        <w:t xml:space="preserve">	</w:t>
      </w:r>
      <w:r>
        <w:t xml:space="preserve">Zeileis A.</w:t>
      </w:r>
      <w:r>
        <w:t xml:space="preserve"> </w:t>
      </w:r>
      <w:hyperlink r:id="rId119">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
          <w:iCs/>
        </w:rPr>
        <w:t xml:space="preserve">Journal of Statistical Software</w:t>
      </w:r>
      <w:r>
        <w:t xml:space="preserve">. 2004;11(10):1–17.</w:t>
      </w:r>
      <w:r>
        <w:t xml:space="preserve"> </w:t>
      </w:r>
    </w:p>
    <w:bookmarkEnd w:id="120"/>
    <w:bookmarkStart w:id="122" w:name="ref-ZeileisKollGraham:2020"/>
    <w:p>
      <w:pPr>
        <w:pStyle w:val="Bibliography"/>
      </w:pPr>
      <w:r>
        <w:t xml:space="preserve">45.</w:t>
      </w:r>
      <w:r>
        <w:t xml:space="preserve"> </w:t>
      </w:r>
      <w:r>
        <w:t xml:space="preserve">	</w:t>
      </w:r>
      <w:r>
        <w:t xml:space="preserve">Zeileis A, Köll S, Graham N.</w:t>
      </w:r>
      <w:r>
        <w:t xml:space="preserve"> </w:t>
      </w:r>
      <w:hyperlink r:id="rId121">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
          <w:iCs/>
        </w:rPr>
        <w:t xml:space="preserve">Journal of Statistical Software</w:t>
      </w:r>
      <w:r>
        <w:t xml:space="preserve">. 2020;95(1):1–36.</w:t>
      </w:r>
      <w:r>
        <w:t xml:space="preserve"> </w:t>
      </w:r>
    </w:p>
    <w:bookmarkEnd w:id="122"/>
    <w:bookmarkStart w:id="124" w:name="ref-LiPapandonatosCalafat:2019"/>
    <w:p>
      <w:pPr>
        <w:pStyle w:val="Bibliography"/>
      </w:pPr>
      <w:r>
        <w:t xml:space="preserve">46.</w:t>
      </w:r>
      <w:r>
        <w:t xml:space="preserve"> </w:t>
      </w:r>
      <w:r>
        <w:t xml:space="preserve">	</w:t>
      </w:r>
      <w:r>
        <w:t xml:space="preserve">Li N, Papandonatos GD, Calafat AM, et al. Identifying periods of susceptibility to the impact of phthalates on children’s cognitive abilities.</w:t>
      </w:r>
      <w:r>
        <w:t xml:space="preserve"> </w:t>
      </w:r>
      <w:r>
        <w:rPr>
          <w:i/>
          <w:iCs/>
        </w:rPr>
        <w:t xml:space="preserve">Environmental Research</w:t>
      </w:r>
      <w:r>
        <w:t xml:space="preserve"> </w:t>
      </w:r>
      <w:r>
        <w:t xml:space="preserve">[electronic article]. 2019;172:604–614. (</w:t>
      </w:r>
      <w:hyperlink r:id="rId123">
        <w:r>
          <w:rPr>
            <w:rStyle w:val="Hyperlink"/>
          </w:rPr>
          <w:t xml:space="preserve">https://www.sciencedirect.com/science/article/pii/S0013935119301379</w:t>
        </w:r>
      </w:hyperlink>
      <w:r>
        <w:t xml:space="preserve">). (Accessed March 13, 2024)</w:t>
      </w:r>
    </w:p>
    <w:bookmarkEnd w:id="124"/>
    <w:bookmarkStart w:id="126" w:name="ref-BalalianWhyattLiu:2019"/>
    <w:p>
      <w:pPr>
        <w:pStyle w:val="Bibliography"/>
      </w:pPr>
      <w:r>
        <w:t xml:space="preserve">47.</w:t>
      </w:r>
      <w:r>
        <w:t xml:space="preserve"> </w:t>
      </w:r>
      <w:r>
        <w:t xml:space="preserve">	</w:t>
      </w:r>
      <w:r>
        <w:t xml:space="preserve">Balalian AA, Whyatt RM, Liu X, et al. Prenatal and childhood exposure to phthalates and motor skills at age 11 years.</w:t>
      </w:r>
      <w:r>
        <w:t xml:space="preserve"> </w:t>
      </w:r>
      <w:r>
        <w:rPr>
          <w:i/>
          <w:iCs/>
        </w:rPr>
        <w:t xml:space="preserve">Environmental Research</w:t>
      </w:r>
      <w:r>
        <w:t xml:space="preserve"> </w:t>
      </w:r>
      <w:r>
        <w:t xml:space="preserve">[electronic article]. 2019;171:416–427. (</w:t>
      </w:r>
      <w:hyperlink r:id="rId125">
        <w:r>
          <w:rPr>
            <w:rStyle w:val="Hyperlink"/>
          </w:rPr>
          <w:t xml:space="preserve">https://www.sciencedirect.com/science/article/pii/S0013935119300507</w:t>
        </w:r>
      </w:hyperlink>
      <w:r>
        <w:t xml:space="preserve">). (Accessed March 13, 2024)</w:t>
      </w:r>
    </w:p>
    <w:bookmarkEnd w:id="126"/>
    <w:bookmarkStart w:id="128" w:name="ref-JankowskaPolanskaHanke:2019"/>
    <w:p>
      <w:pPr>
        <w:pStyle w:val="Bibliography"/>
      </w:pPr>
      <w:r>
        <w:t xml:space="preserve">48.</w:t>
      </w:r>
      <w:r>
        <w:t xml:space="preserve"> </w:t>
      </w:r>
      <w:r>
        <w:t xml:space="preserve">	</w:t>
      </w:r>
      <w:r>
        <w:t xml:space="preserve">Jankowska A, Polańska K, Hanke W, et al. Prenatal and early postnatal phthalate exposure and child neurodevelopment at age of 7 years –</w:t>
      </w:r>
      <w:r>
        <w:t xml:space="preserve"> </w:t>
      </w:r>
      <w:r>
        <w:t xml:space="preserve">Polish Mother</w:t>
      </w:r>
      <w:r>
        <w:t xml:space="preserve"> </w:t>
      </w:r>
      <w:r>
        <w:t xml:space="preserve">and</w:t>
      </w:r>
      <w:r>
        <w:t xml:space="preserve"> </w:t>
      </w:r>
      <w:r>
        <w:t xml:space="preserve">Child Cohort</w:t>
      </w:r>
      <w:r>
        <w:t xml:space="preserve">.</w:t>
      </w:r>
      <w:r>
        <w:t xml:space="preserve"> </w:t>
      </w:r>
      <w:r>
        <w:rPr>
          <w:i/>
          <w:iCs/>
        </w:rPr>
        <w:t xml:space="preserve">Environmental Research</w:t>
      </w:r>
      <w:r>
        <w:t xml:space="preserve"> </w:t>
      </w:r>
      <w:r>
        <w:t xml:space="preserve">[electronic article]. 2019;177:108626. (</w:t>
      </w:r>
      <w:hyperlink r:id="rId127">
        <w:r>
          <w:rPr>
            <w:rStyle w:val="Hyperlink"/>
          </w:rPr>
          <w:t xml:space="preserve">https://www.sciencedirect.com/science/article/pii/S0013935119304232</w:t>
        </w:r>
      </w:hyperlink>
      <w:r>
        <w:t xml:space="preserve">). (Accessed March 13, 2024)</w:t>
      </w:r>
    </w:p>
    <w:bookmarkEnd w:id="128"/>
    <w:bookmarkStart w:id="129" w:name="ref-WechslerKodama:2003"/>
    <w:p>
      <w:pPr>
        <w:pStyle w:val="Bibliography"/>
      </w:pPr>
      <w:r>
        <w:t xml:space="preserve">49.</w:t>
      </w:r>
      <w:r>
        <w:t xml:space="preserve"> </w:t>
      </w:r>
      <w:r>
        <w:t xml:space="preserve">	</w:t>
      </w:r>
      <w:r>
        <w:t xml:space="preserve">Wechsler D, Kodama H. Wechsler intelligence scale for children. Psychological corporation New York; 2003.</w:t>
      </w:r>
    </w:p>
    <w:bookmarkEnd w:id="129"/>
    <w:bookmarkStart w:id="131" w:name="ref-ZhaoChuHuang:2010"/>
    <w:p>
      <w:pPr>
        <w:pStyle w:val="Bibliography"/>
      </w:pPr>
      <w:r>
        <w:t xml:space="preserve">50.</w:t>
      </w:r>
      <w:r>
        <w:t xml:space="preserve"> </w:t>
      </w:r>
      <w:r>
        <w:t xml:space="preserve">	</w:t>
      </w:r>
      <w:r>
        <w:t xml:space="preserve">Zhao B, Chu Y, Huang Y, et al. Structure-dependent inhibition of human and rat 11β-hydroxysteroid dehydrogenase 2 activities by phthalates.</w:t>
      </w:r>
      <w:r>
        <w:t xml:space="preserve"> </w:t>
      </w:r>
      <w:r>
        <w:rPr>
          <w:i/>
          <w:iCs/>
        </w:rPr>
        <w:t xml:space="preserve">Chemico-Biological Interactions</w:t>
      </w:r>
      <w:r>
        <w:t xml:space="preserve"> </w:t>
      </w:r>
      <w:r>
        <w:t xml:space="preserve">[electronic article]. 2010;183(1):79–84. (</w:t>
      </w:r>
      <w:hyperlink r:id="rId130">
        <w:r>
          <w:rPr>
            <w:rStyle w:val="Hyperlink"/>
          </w:rPr>
          <w:t xml:space="preserve">https://www.sciencedirect.com/science/article/pii/S0009279709003950</w:t>
        </w:r>
      </w:hyperlink>
      <w:r>
        <w:t xml:space="preserve">). (Accessed February 13, 2024)</w:t>
      </w:r>
    </w:p>
    <w:bookmarkEnd w:id="131"/>
    <w:bookmarkStart w:id="133" w:name="ref-MaLianDong:2011"/>
    <w:p>
      <w:pPr>
        <w:pStyle w:val="Bibliography"/>
      </w:pPr>
      <w:r>
        <w:t xml:space="preserve">51.</w:t>
      </w:r>
      <w:r>
        <w:t xml:space="preserve"> </w:t>
      </w:r>
      <w:r>
        <w:t xml:space="preserve">	</w:t>
      </w:r>
      <w:r>
        <w:t xml:space="preserve">Ma X, Lian Q-Q, Dong Q, et al. Environmental inhibitors of 11β-hydroxysteroid dehydrogenase type 2.</w:t>
      </w:r>
      <w:r>
        <w:t xml:space="preserve"> </w:t>
      </w:r>
      <w:r>
        <w:rPr>
          <w:i/>
          <w:iCs/>
        </w:rPr>
        <w:t xml:space="preserve">Toxicology</w:t>
      </w:r>
      <w:r>
        <w:t xml:space="preserve"> </w:t>
      </w:r>
      <w:r>
        <w:t xml:space="preserve">[electronic article]. 2011;285(3):83–89. (</w:t>
      </w:r>
      <w:hyperlink r:id="rId132">
        <w:r>
          <w:rPr>
            <w:rStyle w:val="Hyperlink"/>
          </w:rPr>
          <w:t xml:space="preserve">https://www.sciencedirect.com/science/article/pii/S0300483X11001466</w:t>
        </w:r>
      </w:hyperlink>
      <w:r>
        <w:t xml:space="preserve">). (Accessed February 13, 2024)</w:t>
      </w:r>
    </w:p>
    <w:bookmarkEnd w:id="133"/>
    <w:bookmarkStart w:id="135" w:name="ref-PrasanthDivyaSadasivan:2010"/>
    <w:p>
      <w:pPr>
        <w:pStyle w:val="Bibliography"/>
      </w:pPr>
      <w:r>
        <w:t xml:space="preserve">52.</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
          <w:iCs/>
        </w:rPr>
        <w:t xml:space="preserve">Journal of Applied Toxicology</w:t>
      </w:r>
      <w:r>
        <w:t xml:space="preserve"> </w:t>
      </w:r>
      <w:r>
        <w:t xml:space="preserve">[electronic article]. 2010;30(8):769–774. (</w:t>
      </w:r>
      <w:hyperlink r:id="rId134">
        <w:r>
          <w:rPr>
            <w:rStyle w:val="Hyperlink"/>
          </w:rPr>
          <w:t xml:space="preserve">https://onlinelibrary.wiley.com/doi/abs/10.1002/jat.1570</w:t>
        </w:r>
      </w:hyperlink>
      <w:r>
        <w:t xml:space="preserve">). (Accessed February 13, 2024)</w:t>
      </w:r>
    </w:p>
    <w:bookmarkEnd w:id="135"/>
    <w:bookmarkStart w:id="137" w:name="ref-YangLiRen:2019"/>
    <w:p>
      <w:pPr>
        <w:pStyle w:val="Bibliography"/>
      </w:pPr>
      <w:r>
        <w:t xml:space="preserve">53.</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
          <w:iCs/>
        </w:rPr>
        <w:t xml:space="preserve">in Silico</w:t>
      </w:r>
      <w:r>
        <w:t xml:space="preserve">.</w:t>
      </w:r>
      <w:r>
        <w:t xml:space="preserve"> </w:t>
      </w:r>
      <w:r>
        <w:rPr>
          <w:i/>
          <w:iCs/>
        </w:rPr>
        <w:t xml:space="preserve">Food and Chemical Toxicology</w:t>
      </w:r>
      <w:r>
        <w:t xml:space="preserve"> </w:t>
      </w:r>
      <w:r>
        <w:t xml:space="preserve">[electronic article]. 2019;133:110759. (</w:t>
      </w:r>
      <w:hyperlink r:id="rId136">
        <w:r>
          <w:rPr>
            <w:rStyle w:val="Hyperlink"/>
          </w:rPr>
          <w:t xml:space="preserve">https://www.sciencedirect.com/science/article/pii/S0278691519305496</w:t>
        </w:r>
      </w:hyperlink>
      <w:r>
        <w:t xml:space="preserve">). (Accessed February 13, 2024)</w:t>
      </w:r>
    </w:p>
    <w:bookmarkEnd w:id="137"/>
    <w:bookmarkStart w:id="139" w:name="ref-PerrierGiorgis-AllemandSlama:2016"/>
    <w:p>
      <w:pPr>
        <w:pStyle w:val="Bibliography"/>
      </w:pPr>
      <w:r>
        <w:t xml:space="preserve">54.</w:t>
      </w:r>
      <w:r>
        <w:t xml:space="preserve"> </w:t>
      </w:r>
      <w:r>
        <w:t xml:space="preserve">	</w:t>
      </w:r>
      <w:r>
        <w:t xml:space="preserve">Perrier F, Giorgis-Allemand L, Slama R, et al.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w:t>
      </w:r>
      <w:r>
        <w:t xml:space="preserve">[electronic article]. 2016;27(3):378. (</w:t>
      </w:r>
      <w:hyperlink r:id="rId138">
        <w:r>
          <w:rPr>
            <w:rStyle w:val="Hyperlink"/>
          </w:rPr>
          <w:t xml:space="preserve">https://journals.lww.com/epidem/fulltext/2016/05000/within_subject_pooling_of_biological_samples_to.12.aspx</w:t>
        </w:r>
      </w:hyperlink>
      <w:r>
        <w:t xml:space="preserve">). (Accessed March 8, 2024)</w:t>
      </w:r>
    </w:p>
    <w:bookmarkEnd w:id="139"/>
    <w:bookmarkStart w:id="141" w:name="ref-CasasBasaganaSakhi:2018"/>
    <w:p>
      <w:pPr>
        <w:pStyle w:val="Bibliography"/>
      </w:pPr>
      <w:r>
        <w:t xml:space="preserve">55.</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w:t>
      </w:r>
      <w:r>
        <w:t xml:space="preserve">[electronic article]. 2018;121(Pt 1, Pt 1):561–573. (</w:t>
      </w:r>
      <w:hyperlink r:id="rId140">
        <w:r>
          <w:rPr>
            <w:rStyle w:val="Hyperlink"/>
          </w:rPr>
          <w:t xml:space="preserve">http://dx.doi.org/10.1016/j.envint.2018.09.046</w:t>
        </w:r>
      </w:hyperlink>
      <w:r>
        <w:t xml:space="preserve">)</w:t>
      </w:r>
    </w:p>
    <w:bookmarkEnd w:id="141"/>
    <w:bookmarkStart w:id="143" w:name="ref-RafiGreenland:2020"/>
    <w:p>
      <w:pPr>
        <w:pStyle w:val="Bibliography"/>
      </w:pPr>
      <w:r>
        <w:t xml:space="preserve">56.</w:t>
      </w:r>
      <w:r>
        <w:t xml:space="preserve"> </w:t>
      </w:r>
      <w:r>
        <w:t xml:space="preserve">	</w:t>
      </w:r>
      <w:r>
        <w:t xml:space="preserve">Rafi Z, Greenland S. Semantic and cognitive tools to aid statistical science: Replace confidence and significance by compatibility and surprise.</w:t>
      </w:r>
      <w:r>
        <w:t xml:space="preserve"> </w:t>
      </w:r>
      <w:r>
        <w:rPr>
          <w:i/>
          <w:iCs/>
        </w:rPr>
        <w:t xml:space="preserve">BMC Medical Research Methodology</w:t>
      </w:r>
      <w:r>
        <w:t xml:space="preserve"> </w:t>
      </w:r>
      <w:r>
        <w:t xml:space="preserve">[electronic article]. 2020;20(1):244. (</w:t>
      </w:r>
      <w:hyperlink r:id="rId142">
        <w:r>
          <w:rPr>
            <w:rStyle w:val="Hyperlink"/>
          </w:rPr>
          <w:t xml:space="preserve">https://doi.org/10.1186/s12874-020-01105-9</w:t>
        </w:r>
      </w:hyperlink>
      <w:r>
        <w:t xml:space="preserve">). (Accessed March 8, 2024)</w:t>
      </w:r>
    </w:p>
    <w:bookmarkEnd w:id="143"/>
    <w:bookmarkEnd w:id="144"/>
    <w:p>
      <w:r>
        <w:br w:type="page"/>
      </w:r>
    </w:p>
    <w:bookmarkEnd w:id="145"/>
    <w:bookmarkStart w:id="152" w:name="tables-for-descriptive-data"/>
    <w:p>
      <w:pPr>
        <w:pStyle w:val="Heading1"/>
      </w:pPr>
      <w:r>
        <w:t xml:space="preserve">Tables for descriptive data</w:t>
      </w:r>
    </w:p>
    <w:bookmarkStart w:id="147" w:name="study-populations"/>
    <w:p>
      <w:pPr>
        <w:pStyle w:val="Heading2"/>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46"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46"/>
        </w:tc>
      </w:tr>
    </w:tbl>
    <w:bookmarkEnd w:id="147"/>
    <w:bookmarkStart w:id="149" w:name="endocrine-disruptors"/>
    <w:p>
      <w:pPr>
        <w:pStyle w:val="Heading2"/>
      </w:pPr>
      <w:r>
        <w:t xml:space="preserve">Endocrine disruptors</w:t>
      </w:r>
    </w:p>
    <w:tbl>
      <w:tblPr>
        <w:tblStyle w:val="Table"/>
        <w:tblW w:type="pct" w:w="5000"/>
        <w:jc w:val="left"/>
        <w:tblLayout w:type="fixed"/>
        <w:tblLook w:firstRow="0" w:lastRow="0" w:firstColumn="0" w:lastColumn="0" w:noHBand="0" w:noVBand="0" w:val="0000"/>
      </w:tblPr>
      <w:tblGrid>
        <w:gridCol w:w="7920"/>
      </w:tblGrid>
      <w:tr>
        <w:tc>
          <w:tcPr/>
          <w:bookmarkStart w:id="148"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b</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N missing (% missing)</w:t>
                  </w:r>
                </w:p>
              </w:tc>
            </w:tr>
          </w:tbl>
          <w:bookmarkEnd w:id="148"/>
        </w:tc>
      </w:tr>
    </w:tbl>
    <w:bookmarkEnd w:id="149"/>
    <w:bookmarkStart w:id="151" w:name="glucocorticosteroids"/>
    <w:p>
      <w:pPr>
        <w:pStyle w:val="Heading2"/>
      </w:pPr>
      <w:r>
        <w:t xml:space="preserve">Glucocorticosteroids</w:t>
      </w:r>
    </w:p>
    <w:tbl>
      <w:tblPr>
        <w:tblStyle w:val="Table"/>
        <w:tblW w:type="pct" w:w="5000"/>
        <w:jc w:val="left"/>
        <w:tblLayout w:type="fixed"/>
        <w:tblLook w:firstRow="0" w:lastRow="0" w:firstColumn="0" w:lastColumn="0" w:noHBand="0" w:noVBand="0" w:val="0000"/>
      </w:tblPr>
      <w:tblGrid>
        <w:gridCol w:w="7920"/>
      </w:tblGrid>
      <w:tr>
        <w:tc>
          <w:tcPr/>
          <w:bookmarkStart w:id="150"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50"/>
        </w:tc>
      </w:tr>
    </w:tbl>
    <w:bookmarkEnd w:id="151"/>
    <w:bookmarkEnd w:id="152"/>
    <w:bookmarkStart w:id="156" w:name="tables-for-other-analyses"/>
    <w:p>
      <w:pPr>
        <w:pStyle w:val="Heading1"/>
      </w:pPr>
      <w:r>
        <w:t xml:space="preserve">Tables for other analyses</w:t>
      </w:r>
    </w:p>
    <w:bookmarkStart w:id="155" w:name="Xfe21795c12cc91b54002b32d590cceab5746351"/>
    <w:p>
      <w:pPr>
        <w:pStyle w:val="Heading2"/>
      </w:pPr>
      <w:r>
        <w:t xml:space="preserve">Marginal hypotheses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153" w:name="tbl-hypothesis-1and2"/>
          <w:p>
            <w:pPr>
              <w:jc w:val="center"/>
            </w:pPr>
            <w:pPr>
              <w:jc w:val="start"/>
              <w:spacing w:before="200"/>
              <w:pStyle w:val="ImageCaption"/>
            </w:pPr>
            <w:r>
              <w:t xml:space="preserve">Table 4:</w:t>
            </w:r>
            <w:r>
              <w:t xml:space="preserve"> </w:t>
            </w:r>
            <w:r>
              <w:rPr>
                <w:b/>
                <w:bCs/>
              </w:rPr>
              <w:t xml:space="preserve">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(-0.311,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(-0.26,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(-0.299,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(-0.163,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(-0.077,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54" w:name="tbl-hypothesis-3"/>
          <w:p>
            <w:pPr>
              <w:jc w:val="center"/>
            </w:pPr>
            <w:pPr>
              <w:jc w:val="start"/>
              <w:spacing w:before="200"/>
              <w:pStyle w:val="ImageCaption"/>
            </w:pPr>
            <w:r>
              <w:t xml:space="preserve">Table 5:</w:t>
            </w:r>
            <w:r>
              <w:t xml:space="preserve"> </w:t>
            </w:r>
            <w:r>
              <w:rPr>
                <w:b/>
                <w:bCs/>
              </w:rPr>
              <w:t xml:space="preserve">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54"/>
        </w:tc>
      </w:tr>
    </w:tbl>
    <w:p>
      <w:r>
        <w:br w:type="page"/>
      </w:r>
    </w:p>
    <w:bookmarkEnd w:id="155"/>
    <w:bookmarkEnd w:id="156"/>
    <w:bookmarkStart w:id="170" w:name="figures-for-main-results"/>
    <w:p>
      <w:pPr>
        <w:pStyle w:val="Heading1"/>
      </w:pPr>
      <w:r>
        <w:t xml:space="preserve">Figures for main results</w:t>
      </w:r>
    </w:p>
    <w:bookmarkStart w:id="169" w:name="marginal-contrasts"/>
    <w:p>
      <w:pPr>
        <w:pStyle w:val="Heading2"/>
      </w:pPr>
      <w:r>
        <w:t xml:space="preserve">Marginal contrasts</w:t>
      </w:r>
    </w:p>
    <w:tbl>
      <w:tblPr>
        <w:tblStyle w:val="Table"/>
        <w:tblW w:type="pct" w:w="5000"/>
        <w:jc w:val="left"/>
        <w:tblLayout w:type="fixed"/>
        <w:tblLook w:firstRow="0" w:lastRow="0" w:firstColumn="0" w:lastColumn="0" w:noHBand="0" w:noVBand="0" w:val="0000"/>
      </w:tblPr>
      <w:tblGrid>
        <w:gridCol w:w="7920"/>
      </w:tblGrid>
      <w:tr>
        <w:tc>
          <w:tcPr/>
          <w:bookmarkStart w:id="160" w:name="fig-marginal-1"/>
          <w:p>
            <w:pPr>
              <w:jc w:val="center"/>
            </w:pPr>
            <w:r>
              <w:drawing>
                <wp:inline>
                  <wp:extent cx="5334000" cy="5926666"/>
                  <wp:effectExtent b="0" l="0" r="0" t="0"/>
                  <wp:docPr descr="" title="" id="158" name="Picture"/>
                  <a:graphic>
                    <a:graphicData uri="http://schemas.openxmlformats.org/drawingml/2006/picture">
                      <pic:pic>
                        <pic:nvPicPr>
                          <pic:cNvPr descr="manuscript_files/figure-docx/marginal-1-1.png" id="159" name="Picture"/>
                          <pic:cNvPicPr>
                            <a:picLocks noChangeArrowheads="1" noChangeAspect="1"/>
                          </pic:cNvPicPr>
                        </pic:nvPicPr>
                        <pic:blipFill>
                          <a:blip r:embed="rId157"/>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Marginal contrasts on the logarithmic scale for the effect of a increase from the 10th to the 90th percentile of the endocrine disrupting chemicals (EDCs)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160"/>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4" w:name="fig-marginal-2"/>
          <w:p>
            <w:pPr>
              <w:jc w:val="center"/>
            </w:pPr>
            <w:r>
              <w:drawing>
                <wp:inline>
                  <wp:extent cx="5334000" cy="7112000"/>
                  <wp:effectExtent b="0" l="0" r="0" t="0"/>
                  <wp:docPr descr="" title="" id="162" name="Picture"/>
                  <a:graphic>
                    <a:graphicData uri="http://schemas.openxmlformats.org/drawingml/2006/picture">
                      <pic:pic>
                        <pic:nvPicPr>
                          <pic:cNvPr descr="manuscript_files/figure-docx/marginal-2-1.png" id="163" name="Picture"/>
                          <pic:cNvPicPr>
                            <a:picLocks noChangeArrowheads="1" noChangeAspect="1"/>
                          </pic:cNvPicPr>
                        </pic:nvPicPr>
                        <pic:blipFill>
                          <a:blip r:embed="rId161"/>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on the logarithmic scale for the effect of a increase from the 10th to the 90th percentile of the endocrine disrupting chemicals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164"/>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68" w:name="fig-marginal-3"/>
          <w:p>
            <w:pPr>
              <w:jc w:val="center"/>
            </w:pPr>
            <w:r>
              <w:drawing>
                <wp:inline>
                  <wp:extent cx="5334000" cy="2963333"/>
                  <wp:effectExtent b="0" l="0" r="0" t="0"/>
                  <wp:docPr descr="" title="" id="166" name="Picture"/>
                  <a:graphic>
                    <a:graphicData uri="http://schemas.openxmlformats.org/drawingml/2006/picture">
                      <pic:pic>
                        <pic:nvPicPr>
                          <pic:cNvPr descr="manuscript_files/figure-docx/marginal-3-1.png" id="167" name="Picture"/>
                          <pic:cNvPicPr>
                            <a:picLocks noChangeArrowheads="1" noChangeAspect="1"/>
                          </pic:cNvPicPr>
                        </pic:nvPicPr>
                        <pic:blipFill>
                          <a:blip r:embed="rId165"/>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on the logarithmic scale for the effect of a increase from the 10th to the 90th percentile of the glucocorticosteroids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 Abbreviations: cortisone production (cortisone prod.); cortisol production (cortisol prod.); corticost. prod. (corticosterone production).</w:t>
            </w:r>
          </w:p>
          <w:bookmarkEnd w:id="168"/>
        </w:tc>
      </w:tr>
    </w:tbl>
    <w:p>
      <w:r>
        <w:br w:type="page"/>
      </w:r>
    </w:p>
    <w:bookmarkEnd w:id="169"/>
    <w:bookmarkEnd w:id="170"/>
    <w:bookmarkStart w:id="172" w:name="supplementary-information"/>
    <w:p>
      <w:pPr>
        <w:pStyle w:val="Heading1"/>
      </w:pPr>
      <w:r>
        <w:t xml:space="preserve">Supplementary information</w:t>
      </w:r>
    </w:p>
    <w:bookmarkStart w:id="171"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71"/>
    <w:bookmarkEnd w:id="172"/>
    <w:bookmarkStart w:id="202" w:name="supplementary-tables"/>
    <w:p>
      <w:pPr>
        <w:pStyle w:val="Heading1"/>
      </w:pPr>
      <w:r>
        <w:t xml:space="preserve">Supplementary tables</w:t>
      </w:r>
    </w:p>
    <w:bookmarkStart w:id="187" w:name="tables-for-descriptive-data-1"/>
    <w:p>
      <w:pPr>
        <w:pStyle w:val="Heading2"/>
      </w:pPr>
      <w:r>
        <w:t xml:space="preserve">Tables for descriptive data</w:t>
      </w:r>
    </w:p>
    <w:bookmarkStart w:id="174" w:name="X3dd11f121b94bf83edf631b791707ae3059cce5"/>
    <w:p>
      <w:pPr>
        <w:pStyle w:val="Heading3"/>
      </w:pPr>
      <w:r>
        <w:t xml:space="preserve">Information about the endocrine disruptors</w:t>
      </w:r>
    </w:p>
    <w:tbl>
      <w:tblPr>
        <w:tblStyle w:val="Table"/>
        <w:tblW w:type="pct" w:w="5000"/>
        <w:jc w:val="left"/>
        <w:tblLayout w:type="fixed"/>
        <w:tblLook w:firstRow="0" w:lastRow="0" w:firstColumn="0" w:lastColumn="0" w:noHBand="0" w:noVBand="0" w:val="0000"/>
      </w:tblPr>
      <w:tblGrid>
        <w:gridCol w:w="7920"/>
      </w:tblGrid>
      <w:tr>
        <w:tc>
          <w:tcPr/>
          <w:bookmarkStart w:id="173"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endocrine disrupting chemicals (EDCs), including the full compound name, the standard symbol, the used variable name, the identifier from PubChem, and the parental compound.</w:t>
            </w:r>
          </w:p>
          <w:bookmarkEnd w:id="173"/>
        </w:tc>
      </w:tr>
    </w:tbl>
    <w:bookmarkEnd w:id="174"/>
    <w:bookmarkStart w:id="176" w:name="X27d21f98094cbb07d979ff676e2d01ea8aceb5f"/>
    <w:p>
      <w:pPr>
        <w:pStyle w:val="Heading3"/>
      </w:pPr>
      <w:r>
        <w:t xml:space="preserve">Information about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75"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75"/>
        </w:tc>
      </w:tr>
    </w:tbl>
    <w:bookmarkEnd w:id="176"/>
    <w:bookmarkStart w:id="180" w:name="codebooks"/>
    <w:p>
      <w:pPr>
        <w:pStyle w:val="Heading3"/>
      </w:pPr>
      <w:r>
        <w:t xml:space="preserve">Codebooks</w:t>
      </w:r>
    </w:p>
    <w:tbl>
      <w:tblPr>
        <w:tblStyle w:val="Table"/>
        <w:tblW w:type="pct" w:w="5000"/>
        <w:jc w:val="left"/>
        <w:tblLayout w:type="fixed"/>
        <w:tblLook w:firstRow="0" w:lastRow="0" w:firstColumn="0" w:lastColumn="0" w:noHBand="0" w:noVBand="0" w:val="0000"/>
      </w:tblPr>
      <w:tblGrid>
        <w:gridCol w:w="7920"/>
      </w:tblGrid>
      <w:tr>
        <w:tc>
          <w:tcPr/>
          <w:bookmarkStart w:id="17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endocrine disrupting chemicals (EDCs) on hit reaction time standard error (HRT-SE).</w:t>
            </w:r>
          </w:p>
          <w:bookmarkEnd w:id="17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S4:</w:t>
            </w:r>
            <w:r>
              <w:t xml:space="preserve"> </w:t>
            </w:r>
            <w:r>
              <w:rPr>
                <w:b/>
                <w:bCs/>
              </w:rPr>
              <w:t xml:space="preserve">Codebook for the covariates used in the estimation of the marginal comparisons of endocrine disrupting chemicals (EDCs) on the glucocorticosteroids.</w:t>
            </w:r>
          </w:p>
          <w:bookmarkEnd w:id="17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7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S5:</w:t>
            </w:r>
            <w:r>
              <w:t xml:space="preserve"> </w:t>
            </w:r>
            <w:r>
              <w:rPr>
                <w:b/>
                <w:bCs/>
              </w:rPr>
              <w:t xml:space="preserve">Codebook for the covariates used in the estimation of the marginal comparisons of the glucocorticosteroids on hit reaction time standard error (HRT-SE).</w:t>
            </w:r>
          </w:p>
          <w:bookmarkEnd w:id="179"/>
        </w:tc>
      </w:tr>
    </w:tbl>
    <w:bookmarkEnd w:id="180"/>
    <w:bookmarkStart w:id="182" w:name="X1648560fc56530d4d9e363e88afe88d93501164"/>
    <w:p>
      <w:pPr>
        <w:pStyle w:val="Heading3"/>
      </w:pPr>
      <w:r>
        <w:t xml:space="preserve">Lower limits of quantification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81"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S6:</w:t>
            </w:r>
            <w:r>
              <w:t xml:space="preserve"> </w:t>
            </w:r>
            <w:r>
              <w:rPr>
                <w:b/>
                <w:bCs/>
              </w:rPr>
              <w:t xml:space="preserve">Lower limits of quantification expressed in ng/ml for the glucocorticosteroids (HELIX subcohort; 2013-2016).</w:t>
            </w:r>
          </w:p>
          <w:bookmarkEnd w:id="181"/>
        </w:tc>
      </w:tr>
    </w:tbl>
    <w:bookmarkEnd w:id="182"/>
    <w:bookmarkStart w:id="184" w:name="study-populations-1"/>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183"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S7:</w:t>
            </w:r>
            <w:r>
              <w:t xml:space="preserve"> </w:t>
            </w:r>
            <w:r>
              <w:rPr>
                <w:b/>
                <w:bCs/>
              </w:rPr>
              <w:t xml:space="preserve">Participant characteristics, by cohort and overall (HELIX subcohort; 2013-2016).</w:t>
            </w:r>
          </w:p>
          <w:bookmarkEnd w:id="183"/>
        </w:tc>
      </w:tr>
    </w:tbl>
    <w:bookmarkEnd w:id="184"/>
    <w:bookmarkStart w:id="186" w:name="Xcb6196f128f6cc86878aba684850c2c40bb135f"/>
    <w:p>
      <w:pPr>
        <w:pStyle w:val="Heading3"/>
      </w:pPr>
      <w:r>
        <w:t xml:space="preserve">Concentrations of the glucocorticosteroids</w:t>
      </w:r>
    </w:p>
    <w:tbl>
      <w:tblPr>
        <w:tblStyle w:val="Table"/>
        <w:tblW w:type="pct" w:w="5000"/>
        <w:jc w:val="left"/>
        <w:tblLayout w:type="fixed"/>
        <w:tblLook w:firstRow="0" w:lastRow="0" w:firstColumn="0" w:lastColumn="0" w:noHBand="0" w:noVBand="0" w:val="0000"/>
      </w:tblPr>
      <w:tblGrid>
        <w:gridCol w:w="7920"/>
      </w:tblGrid>
      <w:tr>
        <w:tc>
          <w:tcPr/>
          <w:bookmarkStart w:id="185"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S8:</w:t>
            </w:r>
            <w:r>
              <w:t xml:space="preserve"> </w:t>
            </w:r>
            <w:r>
              <w:rPr>
                <w:b/>
                <w:bCs/>
              </w:rPr>
              <w:t xml:space="preserve">Participants glucocorticosteroids concentrations, by cohort and overall (HELIX subcohort; 2013-2016).</w:t>
            </w:r>
          </w:p>
          <w:bookmarkEnd w:id="185"/>
        </w:tc>
      </w:tr>
    </w:tbl>
    <w:bookmarkEnd w:id="186"/>
    <w:bookmarkEnd w:id="187"/>
    <w:bookmarkStart w:id="196" w:name="tables-for-main-results"/>
    <w:p>
      <w:pPr>
        <w:pStyle w:val="Heading2"/>
      </w:pPr>
      <w:r>
        <w:t xml:space="preserve">Tables for main results</w:t>
      </w:r>
    </w:p>
    <w:bookmarkStart w:id="191" w:name="balancing-weights-sample-sizes"/>
    <w:p>
      <w:pPr>
        <w:pStyle w:val="Heading3"/>
      </w:pPr>
      <w:r>
        <w:t xml:space="preserve">Balancing weights: sample sizes</w:t>
      </w:r>
    </w:p>
    <w:tbl>
      <w:tblPr>
        <w:tblStyle w:val="Table"/>
        <w:tblW w:type="pct" w:w="5000"/>
        <w:jc w:val="left"/>
        <w:tblLayout w:type="fixed"/>
        <w:tblLook w:firstRow="0" w:lastRow="0" w:firstColumn="0" w:lastColumn="0" w:noHBand="0" w:noVBand="0" w:val="0000"/>
      </w:tblPr>
      <w:tblGrid>
        <w:gridCol w:w="7920"/>
      </w:tblGrid>
      <w:tr>
        <w:tc>
          <w:tcPr/>
          <w:bookmarkStart w:id="18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endocrine disrupting chemicals (EDCs); outcome: hit reaction time standard error (HRT-SE)) (HELIX subcohort; 2013-2016).</w:t>
            </w:r>
          </w:p>
          <w:bookmarkEnd w:id="18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endocrine disrupting chemicals (EDCs); outcomes: glucocorticosteroids) (HELIX subcohort; 2013-2016).</w:t>
            </w:r>
          </w:p>
          <w:bookmarkEnd w:id="189"/>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Effective sample size before and after balancing weights estimation (exposures: glucocorticosteroids; outcome: hit reaction time standard error (HRT-SE)) (HELIX subcohort; 2013-2016).</w:t>
            </w:r>
          </w:p>
          <w:bookmarkEnd w:id="190"/>
        </w:tc>
      </w:tr>
    </w:tbl>
    <w:bookmarkEnd w:id="191"/>
    <w:bookmarkStart w:id="195" w:name="balancing-weights-summary-statistics"/>
    <w:p>
      <w:pPr>
        <w:pStyle w:val="Heading3"/>
      </w:pPr>
      <w:r>
        <w:t xml:space="preserve">Balancing weights: summary statistics</w:t>
      </w:r>
    </w:p>
    <w:tbl>
      <w:tblPr>
        <w:tblStyle w:val="Table"/>
        <w:tblW w:type="pct" w:w="5000"/>
        <w:jc w:val="left"/>
        <w:tblLayout w:type="fixed"/>
        <w:tblLook w:firstRow="0" w:lastRow="0" w:firstColumn="0" w:lastColumn="0" w:noHBand="0" w:noVBand="0" w:val="0000"/>
      </w:tblPr>
      <w:tblGrid>
        <w:gridCol w:w="7920"/>
      </w:tblGrid>
      <w:tr>
        <w:tc>
          <w:tcPr/>
          <w:bookmarkStart w:id="192"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endocrine disrupting chemicals (EDCs); outcome: hit reaction time standard error (HRT-SE)) (HELIX subcohort; 2013-2016).</w:t>
            </w:r>
          </w:p>
          <w:bookmarkEnd w:id="192"/>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3"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endocrine disrupting chemicals (EDCs); outcomes: glucocorticosteroids) (HELIX subcohort; 2013-2016).</w:t>
            </w:r>
          </w:p>
          <w:bookmarkEnd w:id="193"/>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4"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(exposures: glucocorticosteroids; outcome: hit reaction time standard error (HRT-SE)) (HELIX subcohort; 2013-2016).</w:t>
            </w:r>
          </w:p>
          <w:bookmarkEnd w:id="194"/>
        </w:tc>
      </w:tr>
    </w:tbl>
    <w:bookmarkEnd w:id="195"/>
    <w:bookmarkEnd w:id="196"/>
    <w:bookmarkStart w:id="201" w:name="tables-for-other-results"/>
    <w:p>
      <w:pPr>
        <w:pStyle w:val="Heading2"/>
      </w:pPr>
      <w:r>
        <w:t xml:space="preserve">Tables for other results</w:t>
      </w:r>
    </w:p>
    <w:bookmarkStart w:id="200" w:name="X3feb8d4de640dcb7c28adcb0ef65dd3ddb7cb7d"/>
    <w:p>
      <w:pPr>
        <w:pStyle w:val="Heading3"/>
      </w:pPr>
      <w:r>
        <w:t xml:space="preserve">Balancing weights for effect modification: summary statistics</w:t>
      </w:r>
    </w:p>
    <w:tbl>
      <w:tblPr>
        <w:tblStyle w:val="Table"/>
        <w:tblW w:type="pct" w:w="5000"/>
        <w:jc w:val="left"/>
        <w:tblLayout w:type="fixed"/>
        <w:tblLook w:firstRow="0" w:lastRow="0" w:firstColumn="0" w:lastColumn="0" w:noHBand="0" w:noVBand="0" w:val="0000"/>
      </w:tblPr>
      <w:tblGrid>
        <w:gridCol w:w="7920"/>
      </w:tblGrid>
      <w:tr>
        <w:tc>
          <w:tcPr/>
          <w:bookmarkStart w:id="197"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endocrine disrupting chemicals (EDCs); outcome: hit reaction time standard error (HRT-SE); modifier: sex) (HELIX subcohort; 2013-2016).</w:t>
            </w:r>
          </w:p>
          <w:bookmarkEnd w:id="197"/>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8"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endocrine disrupting chemicals (EDCs); outcomes: glucocorticosteroids; modifier: sex) (HELIX subcohort; 2013-2016).</w:t>
            </w:r>
          </w:p>
          <w:bookmarkEnd w:id="198"/>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99"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
                <w:bCs/>
              </w:rPr>
              <w:t xml:space="preserve">Summary statistics of the estimated balancing weights for effect modification (exposures: glucocorticosteroids; outcome: hit reaction time standard error (HRT-SE); modifier: sex) (HELIX subcohort; 2013-2016).</w:t>
            </w:r>
          </w:p>
          <w:bookmarkEnd w:id="199"/>
        </w:tc>
      </w:tr>
    </w:tbl>
    <w:bookmarkEnd w:id="200"/>
    <w:bookmarkEnd w:id="201"/>
    <w:bookmarkEnd w:id="202"/>
    <w:bookmarkStart w:id="233" w:name="supplementary-figures"/>
    <w:p>
      <w:pPr>
        <w:pStyle w:val="Heading1"/>
      </w:pPr>
      <w:r>
        <w:t xml:space="preserve">Supplementary figures</w:t>
      </w:r>
    </w:p>
    <w:bookmarkStart w:id="218" w:name="figures-for-descriptive-data"/>
    <w:p>
      <w:pPr>
        <w:pStyle w:val="Heading2"/>
      </w:pPr>
      <w:r>
        <w:t xml:space="preserve">Figures for descriptive data</w:t>
      </w:r>
    </w:p>
    <w:bookmarkStart w:id="207" w:name="study-populations-2"/>
    <w:p>
      <w:pPr>
        <w:pStyle w:val="Heading3"/>
      </w:pPr>
      <w:r>
        <w:t xml:space="preserve">Study populations</w:t>
      </w:r>
    </w:p>
    <w:tbl>
      <w:tblPr>
        <w:tblStyle w:val="Table"/>
        <w:tblW w:type="pct" w:w="5000"/>
        <w:jc w:val="left"/>
        <w:tblLayout w:type="fixed"/>
        <w:tblLook w:firstRow="0" w:lastRow="0" w:firstColumn="0" w:lastColumn="0" w:noHBand="0" w:noVBand="0" w:val="0000"/>
      </w:tblPr>
      <w:tblGrid>
        <w:gridCol w:w="7920"/>
      </w:tblGrid>
      <w:tr>
        <w:tc>
          <w:tcPr/>
          <w:bookmarkStart w:id="206" w:name="suppfig-flow-pop"/>
          <w:p>
            <w:pPr>
              <w:jc w:val="center"/>
            </w:pPr>
          </w:p>
          <w:p>
            <w:pPr>
              <w:jc w:val="center"/>
            </w:pPr>
            <w:r>
              <w:drawing>
                <wp:inline>
                  <wp:extent cx="5334000" cy="3346287"/>
                  <wp:effectExtent b="0" l="0" r="0" t="0"/>
                  <wp:docPr descr="" title="" id="204" name="Picture"/>
                  <a:graphic>
                    <a:graphicData uri="http://schemas.openxmlformats.org/drawingml/2006/picture">
                      <pic:pic>
                        <pic:nvPicPr>
                          <pic:cNvPr descr="manuscript_files/figure-docx/mermaid-figure-1.png" id="205" name="Picture"/>
                          <pic:cNvPicPr>
                            <a:picLocks noChangeArrowheads="1" noChangeAspect="1"/>
                          </pic:cNvPicPr>
                        </pic:nvPicPr>
                        <pic:blipFill>
                          <a:blip r:embed="rId203"/>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206"/>
        </w:tc>
      </w:tr>
    </w:tbl>
    <w:bookmarkEnd w:id="207"/>
    <w:bookmarkStart w:id="212" w:name="description-of-endocrine-disruptors"/>
    <w:p>
      <w:pPr>
        <w:pStyle w:val="Heading3"/>
      </w:pPr>
      <w:r>
        <w:t xml:space="preserve">Description of endocrine disruptors</w:t>
      </w:r>
    </w:p>
    <w:tbl>
      <w:tblPr>
        <w:tblStyle w:val="Table"/>
        <w:tblW w:type="pct" w:w="5000"/>
        <w:jc w:val="left"/>
        <w:tblLayout w:type="fixed"/>
        <w:tblLook w:firstRow="0" w:lastRow="0" w:firstColumn="0" w:lastColumn="0" w:noHBand="0" w:noVBand="0" w:val="0000"/>
      </w:tblPr>
      <w:tblGrid>
        <w:gridCol w:w="7920"/>
      </w:tblGrid>
      <w:tr>
        <w:tc>
          <w:tcPr/>
          <w:bookmarkStart w:id="211" w:name="suppfig-desc-chems"/>
          <w:p>
            <w:pPr>
              <w:jc w:val="center"/>
            </w:pPr>
            <w:r>
              <w:drawing>
                <wp:inline>
                  <wp:extent cx="5334000" cy="6223000"/>
                  <wp:effectExtent b="0" l="0" r="0" t="0"/>
                  <wp:docPr descr="" title="" id="209" name="Picture"/>
                  <a:graphic>
                    <a:graphicData uri="http://schemas.openxmlformats.org/drawingml/2006/picture">
                      <pic:pic>
                        <pic:nvPicPr>
                          <pic:cNvPr descr="manuscript_files/figure-docx/desc-chems-lod-1.png" id="210" name="Picture"/>
                          <pic:cNvPicPr>
                            <a:picLocks noChangeArrowheads="1" noChangeAspect="1"/>
                          </pic:cNvPicPr>
                        </pic:nvPicPr>
                        <pic:blipFill>
                          <a:blip r:embed="rId20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endocrine disrupting chemicals (EDCs), by cohort (HELIX subcohort; 2013-2016).</w:t>
            </w:r>
            <w:r>
              <w:t xml:space="preserve"> </w:t>
            </w:r>
            <w:r>
              <w:t xml:space="preserve">Coding: 1, quantifiable; 2, &lt;LOD; 3, interference or out of range; 4. not analysed.</w:t>
            </w:r>
          </w:p>
          <w:bookmarkEnd w:id="211"/>
        </w:tc>
      </w:tr>
    </w:tbl>
    <w:bookmarkEnd w:id="212"/>
    <w:bookmarkStart w:id="217" w:name="description-of-glucocorticosteroids"/>
    <w:p>
      <w:pPr>
        <w:pStyle w:val="Heading3"/>
      </w:pPr>
      <w:r>
        <w:t xml:space="preserve">Description of glucocorticosteroids</w:t>
      </w:r>
    </w:p>
    <w:tbl>
      <w:tblPr>
        <w:tblStyle w:val="Table"/>
        <w:tblW w:type="pct" w:w="5000"/>
        <w:jc w:val="left"/>
        <w:tblLayout w:type="fixed"/>
        <w:tblLook w:firstRow="0" w:lastRow="0" w:firstColumn="0" w:lastColumn="0" w:noHBand="0" w:noVBand="0" w:val="0000"/>
      </w:tblPr>
      <w:tblGrid>
        <w:gridCol w:w="7920"/>
      </w:tblGrid>
      <w:tr>
        <w:tc>
          <w:tcPr/>
          <w:bookmarkStart w:id="216" w:name="suppfig-desc-mets"/>
          <w:p>
            <w:pPr>
              <w:jc w:val="center"/>
            </w:pPr>
            <w:r>
              <w:drawing>
                <wp:inline>
                  <wp:extent cx="5334000" cy="6223000"/>
                  <wp:effectExtent b="0" l="0" r="0" t="0"/>
                  <wp:docPr descr="" title="" id="214" name="Picture"/>
                  <a:graphic>
                    <a:graphicData uri="http://schemas.openxmlformats.org/drawingml/2006/picture">
                      <pic:pic>
                        <pic:nvPicPr>
                          <pic:cNvPr descr="manuscript_files/figure-docx/desc-mets-lod-1.png" id="215" name="Picture"/>
                          <pic:cNvPicPr>
                            <a:picLocks noChangeArrowheads="1" noChangeAspect="1"/>
                          </pic:cNvPicPr>
                        </pic:nvPicPr>
                        <pic:blipFill>
                          <a:blip r:embed="rId213"/>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16"/>
        </w:tc>
      </w:tr>
    </w:tbl>
    <w:bookmarkEnd w:id="217"/>
    <w:bookmarkEnd w:id="218"/>
    <w:bookmarkStart w:id="232" w:name="figures-for-other-results"/>
    <w:p>
      <w:pPr>
        <w:pStyle w:val="Heading2"/>
      </w:pPr>
      <w:r>
        <w:t xml:space="preserve">Figures for other results</w:t>
      </w:r>
    </w:p>
    <w:bookmarkStart w:id="231" w:name="X0effc2a5a10272e84becf53856373ad8fc9d66f"/>
    <w:p>
      <w:pPr>
        <w:pStyle w:val="Heading3"/>
      </w:pPr>
      <w:r>
        <w:t xml:space="preserve">Marginal contrasts for effect modification</w:t>
      </w:r>
    </w:p>
    <w:tbl>
      <w:tblPr>
        <w:tblStyle w:val="Table"/>
        <w:tblW w:type="pct" w:w="5000"/>
        <w:jc w:val="left"/>
        <w:tblLayout w:type="fixed"/>
        <w:tblLook w:firstRow="0" w:lastRow="0" w:firstColumn="0" w:lastColumn="0" w:noHBand="0" w:noVBand="0" w:val="0000"/>
      </w:tblPr>
      <w:tblGrid>
        <w:gridCol w:w="7920"/>
      </w:tblGrid>
      <w:tr>
        <w:tc>
          <w:tcPr/>
          <w:bookmarkStart w:id="222" w:name="suppfig-marginal-1sa"/>
          <w:p>
            <w:pPr>
              <w:jc w:val="center"/>
            </w:pPr>
            <w:r>
              <w:drawing>
                <wp:inline>
                  <wp:extent cx="5334000" cy="6223000"/>
                  <wp:effectExtent b="0" l="0" r="0" t="0"/>
                  <wp:docPr descr="" title="" id="220" name="Picture"/>
                  <a:graphic>
                    <a:graphicData uri="http://schemas.openxmlformats.org/drawingml/2006/picture">
                      <pic:pic>
                        <pic:nvPicPr>
                          <pic:cNvPr descr="manuscript_files/figure-docx/marginal-1sa-1.png" id="221" name="Picture"/>
                          <pic:cNvPicPr>
                            <a:picLocks noChangeArrowheads="1" noChangeAspect="1"/>
                          </pic:cNvPicPr>
                        </pic:nvPicPr>
                        <pic:blipFill>
                          <a:blip r:embed="rId219"/>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222"/>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26" w:name="suppfig-marginal-2sa"/>
          <w:p>
            <w:pPr>
              <w:jc w:val="center"/>
            </w:pPr>
            <w:r>
              <w:drawing>
                <wp:inline>
                  <wp:extent cx="5334000" cy="7112000"/>
                  <wp:effectExtent b="0" l="0" r="0" t="0"/>
                  <wp:docPr descr="" title="" id="224" name="Picture"/>
                  <a:graphic>
                    <a:graphicData uri="http://schemas.openxmlformats.org/drawingml/2006/picture">
                      <pic:pic>
                        <pic:nvPicPr>
                          <pic:cNvPr descr="manuscript_files/figure-docx/marginal-2sa-1.png" id="225" name="Picture"/>
                          <pic:cNvPicPr>
                            <a:picLocks noChangeArrowheads="1" noChangeAspect="1"/>
                          </pic:cNvPicPr>
                        </pic:nvPicPr>
                        <pic:blipFill>
                          <a:blip r:embed="rId223"/>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w:t>
            </w:r>
          </w:p>
          <w:bookmarkEnd w:id="226"/>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230" w:name="suppfig-marginal-3sa"/>
          <w:p>
            <w:pPr>
              <w:jc w:val="center"/>
            </w:pPr>
            <w:r>
              <w:drawing>
                <wp:inline>
                  <wp:extent cx="5334000" cy="4445000"/>
                  <wp:effectExtent b="0" l="0" r="0" t="0"/>
                  <wp:docPr descr="" title="" id="228" name="Picture"/>
                  <a:graphic>
                    <a:graphicData uri="http://schemas.openxmlformats.org/drawingml/2006/picture">
                      <pic:pic>
                        <pic:nvPicPr>
                          <pic:cNvPr descr="manuscript_files/figure-docx/marginal-3sa-1.png" id="229" name="Picture"/>
                          <pic:cNvPicPr>
                            <a:picLocks noChangeArrowheads="1" noChangeAspect="1"/>
                          </pic:cNvPicPr>
                        </pic:nvPicPr>
                        <pic:blipFill>
                          <a:blip r:embed="rId22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r>
              <w:t xml:space="preserve"> </w:t>
            </w:r>
            <w:r>
              <w:t xml:space="preserve">(</w:t>
            </w:r>
            <w:hyperlink w:anchor="ref-RafiGreenland:2020">
              <w:r>
                <w:rPr>
                  <w:rStyle w:val="Hyperlink"/>
                </w:rPr>
                <w:t xml:space="preserve">56</w:t>
              </w:r>
            </w:hyperlink>
            <w:r>
              <w:t xml:space="preserve">)</w:t>
            </w:r>
            <w:r>
              <w:t xml:space="preserve">. Abbreviations: cortisone production (cortisone prod.); cortisol production (cortisol prod.); corticost. prod. (corticosterone production).</w:t>
            </w:r>
          </w:p>
          <w:bookmarkEnd w:id="230"/>
        </w:tc>
      </w:tr>
    </w:tbl>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13" Target="media/rId213.png" /><Relationship Type="http://schemas.openxmlformats.org/officeDocument/2006/relationships/image" Id="rId157" Target="media/rId157.png" /><Relationship Type="http://schemas.openxmlformats.org/officeDocument/2006/relationships/image" Id="rId219" Target="media/rId219.png" /><Relationship Type="http://schemas.openxmlformats.org/officeDocument/2006/relationships/image" Id="rId161" Target="media/rId161.png" /><Relationship Type="http://schemas.openxmlformats.org/officeDocument/2006/relationships/image" Id="rId223" Target="media/rId223.png" /><Relationship Type="http://schemas.openxmlformats.org/officeDocument/2006/relationships/image" Id="rId165" Target="media/rId165.png" /><Relationship Type="http://schemas.openxmlformats.org/officeDocument/2006/relationships/image" Id="rId227" Target="media/rId227.png" /><Relationship Type="http://schemas.openxmlformats.org/officeDocument/2006/relationships/image" Id="rId203" Target="media/rId203.png" /><Relationship Type="http://schemas.openxmlformats.org/officeDocument/2006/relationships/hyperlink" Id="rId140"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42"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8"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34"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30"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125" Target="https://www.sciencedirect.com/science/article/pii/S0013935119300507" TargetMode="External" /><Relationship Type="http://schemas.openxmlformats.org/officeDocument/2006/relationships/hyperlink" Id="rId123" Target="https://www.sciencedirect.com/science/article/pii/S0013935119301379" TargetMode="External" /><Relationship Type="http://schemas.openxmlformats.org/officeDocument/2006/relationships/hyperlink" Id="rId127" Target="https://www.sciencedirect.com/science/article/pii/S0013935119304232"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6" Target="https://www.sciencedirect.com/science/article/pii/S0278691519305496" TargetMode="External" /><Relationship Type="http://schemas.openxmlformats.org/officeDocument/2006/relationships/hyperlink" Id="rId132"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_rels/footnotes.xml.rels><?xml version="1.0" encoding="UTF-8"?><Relationships xmlns="http://schemas.openxmlformats.org/package/2006/relationships"><Relationship Type="http://schemas.openxmlformats.org/officeDocument/2006/relationships/hyperlink" Id="rId140"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142" Target="https://doi.org/10.1186/s12874-020-01105-9"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38" Target="https://journals.lww.com/epidem/fulltext/2016/05000/within_subject_pooling_of_biological_samples_to.12.aspx"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34"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30"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125" Target="https://www.sciencedirect.com/science/article/pii/S0013935119300507" TargetMode="External" /><Relationship Type="http://schemas.openxmlformats.org/officeDocument/2006/relationships/hyperlink" Id="rId123" Target="https://www.sciencedirect.com/science/article/pii/S0013935119301379" TargetMode="External" /><Relationship Type="http://schemas.openxmlformats.org/officeDocument/2006/relationships/hyperlink" Id="rId127" Target="https://www.sciencedirect.com/science/article/pii/S0013935119304232"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6" Target="https://www.sciencedirect.com/science/article/pii/S0278691519305496" TargetMode="External" /><Relationship Type="http://schemas.openxmlformats.org/officeDocument/2006/relationships/hyperlink" Id="rId132"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study based on the parametric g-formula</dc:title>
  <dc:creator/>
  <cp:keywords/>
  <dcterms:created xsi:type="dcterms:W3CDTF">2024-04-08T15:06:47Z</dcterms:created>
  <dcterms:modified xsi:type="dcterms:W3CDTF">2024-04-08T15:06:47Z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