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147.png" ContentType="image/png"/>
  <Override PartName="/word/media/rId198.png" ContentType="image/png"/>
  <Override PartName="/word/media/rId151.png" ContentType="image/png"/>
  <Override PartName="/word/media/rId202.png" ContentType="image/png"/>
  <Override PartName="/word/media/rId155.png" ContentType="image/png"/>
  <Override PartName="/word/media/rId2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Results of epidemiological studies seem to indicate that exposure to certain environmental chemicals, including endocrine disruptors (EDCs), is linked to perturbation of the hypothalamic-pituitary-adrenocortical (HPA) axis, which has a major role in brain development. We evaluated the effects of childhood exposure to organophosphate pesticides, phenols, and phthalate metabolites, on urinary glucocorticosteroids and the Attention Network Test (ANT) in childhood, using data from the Human Early Life Exposome (HELIX) Study. We used the parametric g-formula and marginal contrasts to estimate effects between EDCs, glucocorticosteroids, and a measure of efficiency from the ANT, the hit reaction time standard error (HRT-SE), in roughly 1,000 children aged 6-11. We further tested for possible effect modification by sex. We found positive marginal contrasts for exposure to the phenol MEPA and the phthalate metabolites oxo-MiNP, oh-MiNP, and MEHP, on HRT-SE. Multiple EDCs were also associated with positive marginal contrasts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 and behavior</w:t>
      </w:r>
      <w:hyperlink w:anchor="ref-BouchardBellingerWright:2010">
        <w:r>
          <w:rPr>
            <w:rStyle w:val="InternetLink"/>
            <w:vertAlign w:val="superscript"/>
          </w:rPr>
          <w:t xml:space="preserve">3</w:t>
        </w:r>
      </w:hyperlink>
      <w:r>
        <w:rPr>
          <w:vertAlign w:val="superscript"/>
        </w:rPr>
        <w:t xml:space="preserve">–</w:t>
      </w:r>
      <w:hyperlink w:anchor="ref-VilmandBeckBilenberg:2023">
        <w:r>
          <w:rPr>
            <w:rStyle w:val="InternetLink"/>
            <w:vertAlign w:val="superscript"/>
          </w:rPr>
          <w:t xml:space="preserve">17</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There is also evidence that exposure to certain EDCs, specifically phthalates, might interfere with the hypothalamic-pituitary-adrenocortical (HPA) axis and might interact with the glucocorticoid receptor</w:t>
      </w:r>
      <w:hyperlink w:anchor="ref-KimLeeMoon:2018">
        <w:r>
          <w:rPr>
            <w:rStyle w:val="InternetLink"/>
            <w:vertAlign w:val="superscript"/>
          </w:rPr>
          <w:t xml:space="preserve">18</w:t>
        </w:r>
      </w:hyperlink>
      <w:r>
        <w:rPr>
          <w:vertAlign w:val="superscript"/>
        </w:rPr>
        <w:t xml:space="preserve">–</w:t>
      </w:r>
      <w:hyperlink w:anchor="ref-SearsLiuLanphear:2023">
        <w:r>
          <w:rPr>
            <w:rStyle w:val="InternetLink"/>
            <w:vertAlign w:val="superscript"/>
          </w:rPr>
          <w:t xml:space="preserve">20</w:t>
        </w:r>
      </w:hyperlink>
      <w:r>
        <w:t xml:space="preserve">.</w:t>
      </w:r>
    </w:p>
    <w:p>
      <w:pPr>
        <w:pStyle w:val="TextBody"/>
      </w:pPr>
      <w:r>
        <w:t xml:space="preserve">The HPA axis, which can be activated by stress, is responsible for the production of glucocorticosteroids. The brain, and its proper functioning, is a potential target, due to the presence of receptors for these hormones</w:t>
      </w:r>
      <w:hyperlink w:anchor="ref-SunLiJin:2018">
        <w:r>
          <w:rPr>
            <w:rStyle w:val="InternetLink"/>
            <w:vertAlign w:val="superscript"/>
          </w:rPr>
          <w:t xml:space="preserve">19</w:t>
        </w:r>
      </w:hyperlink>
      <w:r>
        <w:rPr>
          <w:vertAlign w:val="superscript"/>
        </w:rPr>
        <w:t xml:space="preserve">,</w:t>
      </w:r>
      <w:hyperlink w:anchor="ref-LupienMcEwenGunnar:2009">
        <w:r>
          <w:rPr>
            <w:rStyle w:val="InternetLink"/>
            <w:vertAlign w:val="superscript"/>
          </w:rPr>
          <w:t xml:space="preserve">21</w:t>
        </w:r>
      </w:hyperlink>
      <w:r>
        <w:t xml:space="preserve">. Glucocorticosteroids are necessary for brain maturation, although their under- or over-production might interfere with its normal development and ultimately lead to long-term impaired functioning</w:t>
      </w:r>
      <w:hyperlink w:anchor="ref-SearsLiuLanphear:2023">
        <w:r>
          <w:rPr>
            <w:rStyle w:val="InternetLink"/>
            <w:vertAlign w:val="superscript"/>
          </w:rPr>
          <w:t xml:space="preserve">20</w:t>
        </w:r>
      </w:hyperlink>
      <w:r>
        <w:rPr>
          <w:vertAlign w:val="superscript"/>
        </w:rPr>
        <w:t xml:space="preserve">,</w:t>
      </w:r>
      <w:hyperlink w:anchor="ref-LupienMcEwenGunnar:2009">
        <w:r>
          <w:rPr>
            <w:rStyle w:val="InternetLink"/>
            <w:vertAlign w:val="superscript"/>
          </w:rPr>
          <w:t xml:space="preserve">21</w:t>
        </w:r>
      </w:hyperlink>
      <w:r>
        <w:t xml:space="preserve">.</w:t>
      </w:r>
    </w:p>
    <w:p>
      <w:pPr>
        <w:pStyle w:val="TextBody"/>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22</w:t>
        </w:r>
      </w:hyperlink>
      <w:r>
        <w:t xml:space="preserve">. It consists of six existing population-based birth cohort studies across Europe: BiB (Born in Bradford, UK)</w:t>
      </w:r>
      <w:hyperlink w:anchor="ref-WrightSmallRaynor:2013">
        <w:r>
          <w:rPr>
            <w:rStyle w:val="InternetLink"/>
            <w:vertAlign w:val="superscript"/>
          </w:rPr>
          <w:t xml:space="preserve">23</w:t>
        </w:r>
      </w:hyperlink>
      <w:r>
        <w:t xml:space="preserve">, EDEN (Study of determinants of pre- and postnatal developmental, France)</w:t>
      </w:r>
      <w:hyperlink w:anchor="ref-HeudeForhanSlama:2016">
        <w:r>
          <w:rPr>
            <w:rStyle w:val="InternetLink"/>
            <w:vertAlign w:val="superscript"/>
          </w:rPr>
          <w:t xml:space="preserve">24</w:t>
        </w:r>
      </w:hyperlink>
      <w:r>
        <w:t xml:space="preserve">, INMA (Environment and Childhood, Spain)</w:t>
      </w:r>
      <w:hyperlink w:anchor="ref-GuxensBallesterEspada:2012">
        <w:r>
          <w:rPr>
            <w:rStyle w:val="InternetLink"/>
            <w:vertAlign w:val="superscript"/>
          </w:rPr>
          <w:t xml:space="preserve">25</w:t>
        </w:r>
      </w:hyperlink>
      <w:r>
        <w:t xml:space="preserve">, KANC (Kaunas Cohort, Lithuania)</w:t>
      </w:r>
      <w:hyperlink w:anchor="Xd30c40380c9e99bac70b7fa3b0ada5ae8dec3e4">
        <w:r>
          <w:rPr>
            <w:rStyle w:val="InternetLink"/>
            <w:vertAlign w:val="superscript"/>
          </w:rPr>
          <w:t xml:space="preserve">26</w:t>
        </w:r>
      </w:hyperlink>
      <w:r>
        <w:t xml:space="preserve">, MoBa (The Norwegian Mother and Child Cohort Study, Norway)</w:t>
      </w:r>
      <w:hyperlink w:anchor="ref-MagnusIrgensHaug:2006">
        <w:r>
          <w:rPr>
            <w:rStyle w:val="InternetLink"/>
            <w:vertAlign w:val="superscript"/>
          </w:rPr>
          <w:t xml:space="preserve">27</w:t>
        </w:r>
      </w:hyperlink>
      <w:r>
        <w:t xml:space="preserve">, and Rhea (Mother–Child Cohort in Crete, Greece)</w:t>
      </w:r>
      <w:hyperlink w:anchor="ref-ChatziPlanaDaraki:2009">
        <w:r>
          <w:rPr>
            <w:rStyle w:val="InternetLink"/>
            <w:vertAlign w:val="superscript"/>
          </w:rPr>
          <w:t xml:space="preserve">28</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29</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30</w:t>
        </w:r>
      </w:hyperlink>
      <w:r>
        <w:t xml:space="preserve"> </w:t>
      </w:r>
      <w:r>
        <w:t xml:space="preserve">and ggdag</w:t>
      </w:r>
      <w:hyperlink w:anchor="ref-Barrett:2023">
        <w:r>
          <w:rPr>
            <w:rStyle w:val="InternetLink"/>
            <w:vertAlign w:val="superscript"/>
          </w:rPr>
          <w:t xml:space="preserve">31</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32</w:t>
        </w:r>
      </w:hyperlink>
      <w:r>
        <w:t xml:space="preserve">.</w:t>
      </w:r>
    </w:p>
    <w:bookmarkEnd w:id="23"/>
    <w:bookmarkStart w:id="24"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33</w:t>
        </w:r>
      </w:hyperlink>
      <w:r>
        <w:rPr>
          <w:vertAlign w:val="superscript"/>
        </w:rPr>
        <w:t xml:space="preserve">,</w:t>
      </w:r>
      <w:hyperlink w:anchor="ref-Gomez-GomezPozo:2020">
        <w:r>
          <w:rPr>
            <w:rStyle w:val="InternetLink"/>
            <w:vertAlign w:val="superscript"/>
          </w:rPr>
          <w:t xml:space="preserve">34</w:t>
        </w:r>
      </w:hyperlink>
      <w:r>
        <w:t xml:space="preserve">. Of the 1,004 urine samples, 980 children were matched to the HELIX subcohort.</w:t>
      </w:r>
    </w:p>
    <w:p>
      <w:pPr>
        <w:pStyle w:val="TextBody"/>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35</w:t>
        </w:r>
      </w:hyperlink>
      <w:r>
        <w:t xml:space="preserve">. Further information can be found in</w:t>
      </w:r>
      <w:hyperlink w:anchor="ref-MaitreBontCasas:2018">
        <w:r>
          <w:rPr>
            <w:rStyle w:val="InternetLink"/>
            <w:vertAlign w:val="superscript"/>
          </w:rPr>
          <w:t xml:space="preserve">29</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36</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37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38</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39</w:t>
        </w:r>
      </w:hyperlink>
      <w:r>
        <w:t xml:space="preserve">. Information about the lower limits of detection can be found in</w:t>
      </w:r>
      <w:hyperlink w:anchor="ref-HaugSakhiCequier:2018">
        <w:r>
          <w:rPr>
            <w:rStyle w:val="InternetLink"/>
            <w:vertAlign w:val="superscript"/>
          </w:rPr>
          <w:t xml:space="preserve">32</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40</w:t>
        </w:r>
      </w:hyperlink>
      <w:r>
        <w:t xml:space="preserve">. This methods estimates weights by minimizing an energy statistic related to covariate balance</w:t>
      </w:r>
      <w:hyperlink w:anchor="ref-HulingGreiferChen:2023">
        <w:r>
          <w:rPr>
            <w:rStyle w:val="InternetLink"/>
            <w:vertAlign w:val="superscript"/>
          </w:rPr>
          <w:t xml:space="preserve">41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42</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43</w:t>
        </w:r>
      </w:hyperlink>
      <w:r>
        <w:t xml:space="preserve">.</w:t>
      </w:r>
    </w:p>
    <w:p>
      <w:pPr>
        <w:pStyle w:val="TextBody"/>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44</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45</w:t>
        </w:r>
      </w:hyperlink>
      <w:r>
        <w:rPr>
          <w:vertAlign w:val="superscript"/>
        </w:rPr>
        <w:t xml:space="preserve">,</w:t>
      </w:r>
      <w:hyperlink w:anchor="ref-ZeileisKollGraham:2020">
        <w:r>
          <w:rPr>
            <w:rStyle w:val="InternetLink"/>
            <w:vertAlign w:val="superscript"/>
          </w:rPr>
          <w:t xml:space="preserve">46</w:t>
        </w:r>
      </w:hyperlink>
      <w:r>
        <w:t xml:space="preserve">.</w:t>
      </w:r>
      <w:r>
        <w:t xml:space="preserve"> </w:t>
      </w:r>
      <w:r>
        <w:t xml:space="preserve">For each outcome, we report the results as differences between marginal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glucocorticosteroids.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glucocorticosteroids, by cohort and overall, are presented in</w:t>
      </w:r>
      <w:r>
        <w:t xml:space="preserve"> </w:t>
      </w:r>
      <w:hyperlink w:anchor="tbl-edc-desc">
        <w:r>
          <w:rPr>
            <w:rStyle w:val="InternetLink"/>
          </w:rPr>
          <w:t xml:space="preserve">Table 2</w:t>
        </w:r>
      </w:hyperlink>
      <w:r>
        <w:t xml:space="preserve">,</w:t>
      </w:r>
      <w:r>
        <w:t xml:space="preserve"> </w:t>
      </w:r>
      <w:hyperlink w:anchor="tbl-met-desc">
        <w:r>
          <w:rPr>
            <w:rStyle w:val="InternetLink"/>
          </w:rPr>
          <w:t xml:space="preserve">Table 3</w:t>
        </w:r>
      </w:hyperlink>
      <w:r>
        <w:t xml:space="preserve">, and</w:t>
      </w:r>
      <w:r>
        <w:t xml:space="preserve"> </w:t>
      </w:r>
      <w:hyperlink w:anchor="tbl-met-new-desc">
        <w:r>
          <w:rPr>
            <w:rStyle w:val="InternetLink"/>
          </w:rPr>
          <w:t xml:space="preserve">Table 4</w:t>
        </w:r>
      </w:hyperlink>
      <w:r>
        <w:t xml:space="preserve">.</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contrasts of the non-persistent EDCs on HRT-SE. Overall, a cohort-specific increase in the levels of the exposures from the 10th to the 90th percentiles was associated with a positive marginal contrast, indicating an increase in the values of HRT-SE. Most of the confidence interval (CI)s included the null effect, though. Statistically significant effects were observed for the phenol MEPA (marginal contrast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contrasts of the non-persistent EDCs on cortisone production, cortisol production, and corticosterone production. Overall, a cohort-specific increase in the levels of the exposures from the 10th to the 90th percentiles was associated with a positive marginal contrast, indicating an increase in the total production of these metabolites, with the exception of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End w:id="35"/>
    <w:bookmarkStart w:id="38" w:name="sec-res-other"/>
    <w:p>
      <w:pPr>
        <w:pStyle w:val="Heading2"/>
      </w:pPr>
      <w:r>
        <w:t xml:space="preserve">Other analyses</w:t>
      </w:r>
    </w:p>
    <w:bookmarkStart w:id="36" w:name="effect-modification-by-sex"/>
    <w:p>
      <w:pPr>
        <w:pStyle w:val="Heading3"/>
      </w:pPr>
      <w:r>
        <w:t xml:space="preserve">Effect modification by sex</w:t>
      </w:r>
    </w:p>
    <w:p>
      <w:pPr>
        <w:pStyle w:val="FirstParagraph"/>
      </w:pPr>
      <w:r>
        <w:t xml:space="preserve">Basic summary statistics of the estimated balancing weights for effect modification are presented in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5</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6</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7</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6"/>
    <w:bookmarkStart w:id="37" w:name="sensitivity-to-exposure-assessment"/>
    <w:p>
      <w:pPr>
        <w:pStyle w:val="Heading3"/>
      </w:pPr>
      <w:r>
        <w:t xml:space="preserve">Sensitivity to exposure assessment</w:t>
      </w:r>
    </w:p>
    <w:bookmarkEnd w:id="37"/>
    <w:bookmarkEnd w:id="38"/>
    <w:bookmarkEnd w:id="39"/>
    <w:bookmarkStart w:id="40" w:name="sec-discussion"/>
    <w:p>
      <w:pPr>
        <w:pStyle w:val="Heading1"/>
      </w:pPr>
      <w:r>
        <w:t xml:space="preserve">Discussion</w:t>
      </w:r>
    </w:p>
    <w:p>
      <w:pPr>
        <w:pStyle w:val="FirstParagraph"/>
      </w:pPr>
      <w:r>
        <w:t xml:space="preserve">The impact of exposure to (non-persistent) EDCs on human health has attracted considerable research interest. While research in this area has mainly investigated the effects of prenatal exposure on child neurodevelopment</w:t>
      </w:r>
      <w:hyperlink w:anchor="Xd81cf38a3b251ec377f8aa13b097ea9d0c190e3">
        <w:r>
          <w:rPr>
            <w:rStyle w:val="InternetLink"/>
            <w:vertAlign w:val="superscript"/>
          </w:rPr>
          <w:t xml:space="preserve">2</w:t>
        </w:r>
      </w:hyperlink>
      <w:r>
        <w:t xml:space="preserve">, little is still known about later-in-life exposure and childhood neurodevelopment. In this study, consisting of almost 1,000 children from 6 European birth cohorts, we observed that short-term childhood exposure to non-persistent EDCs had negative effects on HRT-SE and total production of cortisol, cortisone, and corticosterone, with the majority of the CIs including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TextBody"/>
      </w:pPr>
      <w:r>
        <w:t xml:space="preserve">We are not aware of prior studies specifically investigating the effects of exposure to EDCs in relation to HRT-SE. The literature on EDCs and neurodevelopment in children has mostly focused on OP pesticides [</w:t>
      </w:r>
      <w:hyperlink w:anchor="ref-BouchardBellingerWright:2010">
        <w:r>
          <w:rPr>
            <w:rStyle w:val="InternetLink"/>
            <w:vertAlign w:val="superscript"/>
          </w:rPr>
          <w:t xml:space="preserve">3</w:t>
        </w:r>
      </w:hyperlink>
      <w:r>
        <w:t xml:space="preserve">;</w:t>
      </w:r>
      <w:hyperlink w:anchor="X2a5c5c17453fffe785b7f0bcffd564283892c6c">
        <w:r>
          <w:rPr>
            <w:rStyle w:val="InternetLink"/>
            <w:vertAlign w:val="superscript"/>
          </w:rPr>
          <w:t xml:space="preserve">4</w:t>
        </w:r>
      </w:hyperlink>
      <w:r>
        <w:t xml:space="preserve">;</w:t>
      </w:r>
      <w:hyperlink w:anchor="Xa0cc0fdd8206e54b0a9b4bdcd9d2102efd24cb7">
        <w:r>
          <w:rPr>
            <w:rStyle w:val="InternetLink"/>
            <w:vertAlign w:val="superscript"/>
          </w:rPr>
          <w:t xml:space="preserve">6</w:t>
        </w:r>
      </w:hyperlink>
      <w:r>
        <w:t xml:space="preserve">; YuDuChiou:2016], phthalate metabolites</w:t>
      </w:r>
      <w:hyperlink w:anchor="ref-HuangChenSu:2015">
        <w:r>
          <w:rPr>
            <w:rStyle w:val="InternetLink"/>
            <w:vertAlign w:val="superscript"/>
          </w:rPr>
          <w:t xml:space="preserve">5</w:t>
        </w:r>
      </w:hyperlink>
      <w:r>
        <w:rPr>
          <w:vertAlign w:val="superscript"/>
        </w:rPr>
        <w:t xml:space="preserve">,</w:t>
      </w:r>
      <w:hyperlink w:anchor="ref-HuangTsaiChen:2017">
        <w:r>
          <w:rPr>
            <w:rStyle w:val="InternetLink"/>
            <w:vertAlign w:val="superscript"/>
          </w:rPr>
          <w:t xml:space="preserve">9</w:t>
        </w:r>
      </w:hyperlink>
      <w:r>
        <w:rPr>
          <w:vertAlign w:val="superscript"/>
        </w:rPr>
        <w:t xml:space="preserve">,</w:t>
      </w:r>
      <w:hyperlink w:anchor="ref-KimHongShin:2017">
        <w:r>
          <w:rPr>
            <w:rStyle w:val="InternetLink"/>
            <w:vertAlign w:val="superscript"/>
          </w:rPr>
          <w:t xml:space="preserve">10</w:t>
        </w:r>
      </w:hyperlink>
      <w:r>
        <w:rPr>
          <w:vertAlign w:val="superscript"/>
        </w:rPr>
        <w:t xml:space="preserve">,</w:t>
      </w:r>
      <w:hyperlink w:anchor="ref-VilmandBeckBilenberg:2023">
        <w:r>
          <w:rPr>
            <w:rStyle w:val="InternetLink"/>
            <w:vertAlign w:val="superscript"/>
          </w:rPr>
          <w:t xml:space="preserve">17</w:t>
        </w:r>
      </w:hyperlink>
      <w:r>
        <w:t xml:space="preserve">, and BPA</w:t>
      </w:r>
      <w:hyperlink w:anchor="ref-TewarAuingerBraun:2016">
        <w:r>
          <w:rPr>
            <w:rStyle w:val="InternetLink"/>
            <w:vertAlign w:val="superscript"/>
          </w:rPr>
          <w:t xml:space="preserve">7</w:t>
        </w:r>
      </w:hyperlink>
      <w:r>
        <w:rPr>
          <w:vertAlign w:val="superscript"/>
        </w:rPr>
        <w:t xml:space="preserve">,</w:t>
      </w:r>
      <w:hyperlink w:anchor="ref-LiZhangKuang:2018">
        <w:r>
          <w:rPr>
            <w:rStyle w:val="InternetLink"/>
            <w:vertAlign w:val="superscript"/>
          </w:rPr>
          <w:t xml:space="preserve">13</w:t>
        </w:r>
      </w:hyperlink>
      <w:r>
        <w:rPr>
          <w:vertAlign w:val="superscript"/>
        </w:rPr>
        <w:t xml:space="preserve">,</w:t>
      </w:r>
      <w:hyperlink w:anchor="X71fca68020aad3c79232160399444b9923ab76e">
        <w:r>
          <w:rPr>
            <w:rStyle w:val="InternetLink"/>
            <w:vertAlign w:val="superscript"/>
          </w:rPr>
          <w:t xml:space="preserve">14</w:t>
        </w:r>
      </w:hyperlink>
      <w:r>
        <w:t xml:space="preserve">, in relation to Attention-Deficit / Hyperactivity Disorder (ADHD)</w:t>
      </w:r>
      <w:hyperlink w:anchor="ref-BouchardBellingerWright:2010">
        <w:r>
          <w:rPr>
            <w:rStyle w:val="InternetLink"/>
            <w:vertAlign w:val="superscript"/>
          </w:rPr>
          <w:t xml:space="preserve">3</w:t>
        </w:r>
      </w:hyperlink>
      <w:r>
        <w:rPr>
          <w:vertAlign w:val="superscript"/>
        </w:rPr>
        <w:t xml:space="preserve">,</w:t>
      </w:r>
      <w:hyperlink w:anchor="ref-TewarAuingerBraun:2016">
        <w:r>
          <w:rPr>
            <w:rStyle w:val="InternetLink"/>
            <w:vertAlign w:val="superscript"/>
          </w:rPr>
          <w:t xml:space="preserve">7</w:t>
        </w:r>
      </w:hyperlink>
      <w:r>
        <w:rPr>
          <w:vertAlign w:val="superscript"/>
        </w:rPr>
        <w:t xml:space="preserve">,</w:t>
      </w:r>
      <w:hyperlink w:anchor="ref-YuDuChiou:2016">
        <w:r>
          <w:rPr>
            <w:rStyle w:val="InternetLink"/>
            <w:vertAlign w:val="superscript"/>
          </w:rPr>
          <w:t xml:space="preserve">8</w:t>
        </w:r>
      </w:hyperlink>
      <w:r>
        <w:rPr>
          <w:vertAlign w:val="superscript"/>
        </w:rPr>
        <w:t xml:space="preserve">,</w:t>
      </w:r>
      <w:hyperlink w:anchor="ref-LiZhangKuang:2018">
        <w:r>
          <w:rPr>
            <w:rStyle w:val="InternetLink"/>
            <w:vertAlign w:val="superscript"/>
          </w:rPr>
          <w:t xml:space="preserve">13</w:t>
        </w:r>
      </w:hyperlink>
      <w:r>
        <w:t xml:space="preserve">, and intelligence scales</w:t>
      </w:r>
      <w:hyperlink w:anchor="X2a5c5c17453fffe785b7f0bcffd564283892c6c">
        <w:r>
          <w:rPr>
            <w:rStyle w:val="InternetLink"/>
            <w:vertAlign w:val="superscript"/>
          </w:rPr>
          <w:t xml:space="preserve">4</w:t>
        </w:r>
      </w:hyperlink>
      <w:r>
        <w:rPr>
          <w:vertAlign w:val="superscript"/>
        </w:rPr>
        <w:t xml:space="preserve">–</w:t>
      </w:r>
      <w:hyperlink w:anchor="Xa0cc0fdd8206e54b0a9b4bdcd9d2102efd24cb7">
        <w:r>
          <w:rPr>
            <w:rStyle w:val="InternetLink"/>
            <w:vertAlign w:val="superscript"/>
          </w:rPr>
          <w:t xml:space="preserve">6</w:t>
        </w:r>
      </w:hyperlink>
      <w:r>
        <w:rPr>
          <w:vertAlign w:val="superscript"/>
        </w:rPr>
        <w:t xml:space="preserve">,</w:t>
      </w:r>
      <w:hyperlink w:anchor="ref-HuangTsaiChen:2017">
        <w:r>
          <w:rPr>
            <w:rStyle w:val="InternetLink"/>
            <w:vertAlign w:val="superscript"/>
          </w:rPr>
          <w:t xml:space="preserve">9</w:t>
        </w:r>
      </w:hyperlink>
      <w:r>
        <w:rPr>
          <w:vertAlign w:val="superscript"/>
        </w:rPr>
        <w:t xml:space="preserve">,</w:t>
      </w:r>
      <w:hyperlink w:anchor="ref-KimHongShin:2017">
        <w:r>
          <w:rPr>
            <w:rStyle w:val="InternetLink"/>
            <w:vertAlign w:val="superscript"/>
          </w:rPr>
          <w:t xml:space="preserve">10</w:t>
        </w:r>
      </w:hyperlink>
      <w:r>
        <w:rPr>
          <w:vertAlign w:val="superscript"/>
        </w:rPr>
        <w:t xml:space="preserve">,</w:t>
      </w:r>
      <w:hyperlink w:anchor="ref-VilmandBeckBilenberg:2023">
        <w:r>
          <w:rPr>
            <w:rStyle w:val="InternetLink"/>
            <w:vertAlign w:val="superscript"/>
          </w:rPr>
          <w:t xml:space="preserve">17</w:t>
        </w:r>
      </w:hyperlink>
      <w:r>
        <w:t xml:space="preserve">. Few studies have looked into different classes of EDCs</w:t>
      </w:r>
      <w:hyperlink w:anchor="ref-ShoaffCoullWeuve:2020">
        <w:r>
          <w:rPr>
            <w:rStyle w:val="InternetLink"/>
            <w:vertAlign w:val="superscript"/>
          </w:rPr>
          <w:t xml:space="preserve">15</w:t>
        </w:r>
      </w:hyperlink>
      <w:r>
        <w:rPr>
          <w:vertAlign w:val="superscript"/>
        </w:rPr>
        <w:t xml:space="preserve"> </w:t>
      </w:r>
      <w:r>
        <w:rPr>
          <w:vertAlign w:val="superscript"/>
        </w:rPr>
        <w:t xml:space="preserve">in relation with the Conners Attention Deficit Scale and the Behavior Assessment System for Children,</w:t>
      </w:r>
      <w:hyperlink w:anchor="ref-OhKimKannan:2023">
        <w:r>
          <w:rPr>
            <w:rStyle w:val="InternetLink"/>
            <w:vertAlign w:val="superscript"/>
          </w:rPr>
          <w:t xml:space="preserve">16</w:t>
        </w:r>
      </w:hyperlink>
      <w:r>
        <w:rPr>
          <w:vertAlign w:val="superscript"/>
        </w:rPr>
        <w:t xml:space="preserve"> </w:t>
      </w:r>
      <w:r>
        <w:rPr>
          <w:vertAlign w:val="superscript"/>
        </w:rPr>
        <w:t xml:space="preserve">in relation with ADHD symptoms</w:t>
      </w:r>
      <w:r>
        <w:t xml:space="preserve">. Overall, and consistent with our results, these studies seem to provide further evidence of the negative effects of several EDCs on neurodevelopment in children. While not all these studies have investigated effect modification by sex, it seems that these negative effects are stronger in males. A major limitation of these studies is the reliance on spot urine samples, that might not be representative of long-term exposures.</w:t>
      </w:r>
    </w:p>
    <w:p>
      <w:pPr>
        <w:pStyle w:val="TextBody"/>
      </w:pPr>
      <w:r>
        <w:t xml:space="preserve">Our results are consistent with prior research that associated exposure to certain EDCs with higher levels of cortisol</w:t>
      </w:r>
      <w:hyperlink w:anchor="ref-KimLeeMoon:2018">
        <w:r>
          <w:rPr>
            <w:rStyle w:val="InternetLink"/>
            <w:vertAlign w:val="superscript"/>
          </w:rPr>
          <w:t xml:space="preserve">18</w:t>
        </w:r>
      </w:hyperlink>
      <w:r>
        <w:rPr>
          <w:vertAlign w:val="superscript"/>
        </w:rPr>
        <w:t xml:space="preserve">–</w:t>
      </w:r>
      <w:hyperlink w:anchor="ref-SearsLiuLanphear:2023">
        <w:r>
          <w:rPr>
            <w:rStyle w:val="InternetLink"/>
            <w:vertAlign w:val="superscript"/>
          </w:rPr>
          <w:t xml:space="preserve">20</w:t>
        </w:r>
      </w:hyperlink>
      <w:r>
        <w:t xml:space="preserve">. There are some differences, though. First, these studies only focus on phthalates, either as individual metabolites or as mixture. Second, exposure assessment in</w:t>
      </w:r>
      <w:hyperlink w:anchor="ref-SunLiJin:2018">
        <w:r>
          <w:rPr>
            <w:rStyle w:val="InternetLink"/>
            <w:vertAlign w:val="superscript"/>
          </w:rPr>
          <w:t xml:space="preserve">19</w:t>
        </w:r>
      </w:hyperlink>
      <w:r>
        <w:t xml:space="preserve"> </w:t>
      </w:r>
      <w:r>
        <w:t xml:space="preserve">and</w:t>
      </w:r>
      <w:hyperlink w:anchor="ref-KimLeeMoon:2018">
        <w:r>
          <w:rPr>
            <w:rStyle w:val="InternetLink"/>
            <w:vertAlign w:val="superscript"/>
          </w:rPr>
          <w:t xml:space="preserve">18</w:t>
        </w:r>
      </w:hyperlink>
      <w:r>
        <w:t xml:space="preserve"> </w:t>
      </w:r>
      <w:r>
        <w:t xml:space="preserve">was performed during gestation or the first 15 months of life, respectively. Finally, the glucocorticosteroids were measured in cord blood</w:t>
      </w:r>
      <w:hyperlink w:anchor="ref-SunLiJin:2018">
        <w:r>
          <w:rPr>
            <w:rStyle w:val="InternetLink"/>
            <w:vertAlign w:val="superscript"/>
          </w:rPr>
          <w:t xml:space="preserve">19</w:t>
        </w:r>
      </w:hyperlink>
      <w:r>
        <w:t xml:space="preserve"> </w:t>
      </w:r>
      <w:r>
        <w:t xml:space="preserve">and hair</w:t>
      </w:r>
      <w:hyperlink w:anchor="ref-SearsLiuLanphear:2023">
        <w:r>
          <w:rPr>
            <w:rStyle w:val="InternetLink"/>
            <w:vertAlign w:val="superscript"/>
          </w:rPr>
          <w:t xml:space="preserve">20</w:t>
        </w:r>
      </w:hyperlink>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TextBody"/>
      </w:pPr>
      <w:r>
        <w:t xml:space="preserve">We are also not aware of prior studies specifically investigating the effects of elevated levels of glucocorticosteroids in relation to HRT-SE, although there is evidence that under- or over-production of glucocorticosteroids interfere with the normal development of the brain</w:t>
      </w:r>
      <w:hyperlink w:anchor="ref-LupienMcEwenGunnar:2009">
        <w:r>
          <w:rPr>
            <w:rStyle w:val="InternetLink"/>
            <w:vertAlign w:val="superscript"/>
          </w:rPr>
          <w:t xml:space="preserve">21</w:t>
        </w:r>
      </w:hyperlink>
      <w:r>
        <w:t xml:space="preserve">. While we did find sex-specific evidence of an effect, their clinical relevance is questionable.</w:t>
      </w:r>
    </w:p>
    <w:p>
      <w:pPr>
        <w:pStyle w:val="TextBody"/>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glucocorticosteroids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47</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TextBody"/>
      </w:pPr>
      <w:r>
        <w:t xml:space="preserve">In conclusion, in a study of almost 1,000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40"/>
    <w:bookmarkStart w:id="133" w:name="references"/>
    <w:p>
      <w:pPr>
        <w:pStyle w:val="Heading1"/>
      </w:pPr>
      <w:r>
        <w:t xml:space="preserve">References</w:t>
      </w:r>
    </w:p>
    <w:bookmarkStart w:id="132" w:name="refs"/>
    <w:bookmarkStart w:id="42"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1">
        <w:r>
          <w:rPr>
            <w:rStyle w:val="InternetLink"/>
          </w:rPr>
          <w:t xml:space="preserve">10.1016/S1474-4422(13)70278-3</w:t>
        </w:r>
      </w:hyperlink>
    </w:p>
    <w:bookmarkEnd w:id="42"/>
    <w:bookmarkStart w:id="44"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3">
        <w:r>
          <w:rPr>
            <w:rStyle w:val="InternetLink"/>
          </w:rPr>
          <w:t xml:space="preserve">10.1016/j.envres.2021.111890</w:t>
        </w:r>
      </w:hyperlink>
    </w:p>
    <w:bookmarkEnd w:id="44"/>
    <w:bookmarkStart w:id="46" w:name="ref-BouchardBellingerWright:2010"/>
    <w:p>
      <w:pPr>
        <w:pStyle w:val="Bibliography"/>
      </w:pPr>
      <w:r>
        <w:t xml:space="preserve">3.</w:t>
      </w:r>
      <w:r>
        <w:t xml:space="preserve"> </w:t>
      </w:r>
      <w:r>
        <w:t xml:space="preserve">	</w:t>
      </w:r>
      <w:r>
        <w:t xml:space="preserve">Bouchard MF, Bellinger DC, Wright RO, Weisskopf MG.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2010;125(6):e1270-e1277. doi:</w:t>
      </w:r>
      <w:hyperlink r:id="rId45">
        <w:r>
          <w:rPr>
            <w:rStyle w:val="InternetLink"/>
          </w:rPr>
          <w:t xml:space="preserve">10.1542/peds.2009-3058</w:t>
        </w:r>
      </w:hyperlink>
    </w:p>
    <w:bookmarkEnd w:id="46"/>
    <w:bookmarkStart w:id="48"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2015;85:229-237. doi:</w:t>
      </w:r>
      <w:hyperlink r:id="rId47">
        <w:r>
          <w:rPr>
            <w:rStyle w:val="InternetLink"/>
          </w:rPr>
          <w:t xml:space="preserve">10.1016/j.envint.2015.09.019</w:t>
        </w:r>
      </w:hyperlink>
    </w:p>
    <w:bookmarkEnd w:id="48"/>
    <w:bookmarkStart w:id="50"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2015;10(6):e0131910. doi:</w:t>
      </w:r>
      <w:hyperlink r:id="rId49">
        <w:r>
          <w:rPr>
            <w:rStyle w:val="InternetLink"/>
          </w:rPr>
          <w:t xml:space="preserve">10.1371/journal.pone.0131910</w:t>
        </w:r>
      </w:hyperlink>
    </w:p>
    <w:bookmarkEnd w:id="50"/>
    <w:bookmarkStart w:id="52"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2016;124(5):674-680. doi:</w:t>
      </w:r>
      <w:hyperlink r:id="rId51">
        <w:r>
          <w:rPr>
            <w:rStyle w:val="InternetLink"/>
          </w:rPr>
          <w:t xml:space="preserve">10.1289/ehp.1409472</w:t>
        </w:r>
      </w:hyperlink>
    </w:p>
    <w:bookmarkEnd w:id="52"/>
    <w:bookmarkStart w:id="54"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2016;150:112-118. doi:</w:t>
      </w:r>
      <w:hyperlink r:id="rId53">
        <w:r>
          <w:rPr>
            <w:rStyle w:val="InternetLink"/>
          </w:rPr>
          <w:t xml:space="preserve">10.1016/j.envres.2016.05.040</w:t>
        </w:r>
      </w:hyperlink>
    </w:p>
    <w:bookmarkEnd w:id="54"/>
    <w:bookmarkStart w:id="56"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2016;4(4):695-705. doi:</w:t>
      </w:r>
      <w:hyperlink r:id="rId55">
        <w:r>
          <w:rPr>
            <w:rStyle w:val="InternetLink"/>
          </w:rPr>
          <w:t xml:space="preserve">10.1111/andr.12183</w:t>
        </w:r>
      </w:hyperlink>
    </w:p>
    <w:bookmarkEnd w:id="56"/>
    <w:bookmarkStart w:id="58"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2017;156:158-166. doi:</w:t>
      </w:r>
      <w:hyperlink r:id="rId57">
        <w:r>
          <w:rPr>
            <w:rStyle w:val="InternetLink"/>
          </w:rPr>
          <w:t xml:space="preserve">10.1016/j.envres.2017.03.016</w:t>
        </w:r>
      </w:hyperlink>
    </w:p>
    <w:bookmarkEnd w:id="58"/>
    <w:bookmarkStart w:id="60" w:name="ref-KimHongShin:2017"/>
    <w:p>
      <w:pPr>
        <w:pStyle w:val="Bibliography"/>
      </w:pPr>
      <w:r>
        <w:t xml:space="preserve">10.</w:t>
      </w:r>
      <w:r>
        <w:t xml:space="preserve"> </w:t>
      </w:r>
      <w:r>
        <w:t xml:space="preserve">	</w:t>
      </w:r>
      <w:r>
        <w:t xml:space="preserve">Kim JI, Hong YC, Shin CH, Lee YA, Lim YH, Kim BN. The effects of maternal and children phthalate exposure on the neurocognitive function of 6-year-old children.</w:t>
      </w:r>
      <w:r>
        <w:t xml:space="preserve"> </w:t>
      </w:r>
      <w:r>
        <w:rPr>
          <w:iCs/>
          <w:i/>
        </w:rPr>
        <w:t xml:space="preserve">Environmental Research</w:t>
      </w:r>
      <w:r>
        <w:t xml:space="preserve">. 2017;156:519-525. doi:</w:t>
      </w:r>
      <w:hyperlink r:id="rId59">
        <w:r>
          <w:rPr>
            <w:rStyle w:val="InternetLink"/>
          </w:rPr>
          <w:t xml:space="preserve">10.1016/j.envres.2017.04.003</w:t>
        </w:r>
      </w:hyperlink>
    </w:p>
    <w:bookmarkEnd w:id="60"/>
    <w:bookmarkStart w:id="62"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2017;158:737-747. doi:</w:t>
      </w:r>
      <w:hyperlink r:id="rId61">
        <w:r>
          <w:rPr>
            <w:rStyle w:val="InternetLink"/>
          </w:rPr>
          <w:t xml:space="preserve">10.1016/j.envres.2017.07.023</w:t>
        </w:r>
      </w:hyperlink>
    </w:p>
    <w:bookmarkEnd w:id="62"/>
    <w:bookmarkStart w:id="64"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63">
        <w:r>
          <w:rPr>
            <w:rStyle w:val="InternetLink"/>
          </w:rPr>
          <w:t xml:space="preserve">10.1038/nrendo.2016.186</w:t>
        </w:r>
      </w:hyperlink>
    </w:p>
    <w:bookmarkEnd w:id="64"/>
    <w:bookmarkStart w:id="66"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2018;235:141-149. doi:</w:t>
      </w:r>
      <w:hyperlink r:id="rId65">
        <w:r>
          <w:rPr>
            <w:rStyle w:val="InternetLink"/>
          </w:rPr>
          <w:t xml:space="preserve">10.1016/j.envpol.2017.12.056</w:t>
        </w:r>
      </w:hyperlink>
    </w:p>
    <w:bookmarkEnd w:id="66"/>
    <w:bookmarkStart w:id="68"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2019;74:162-171. doi:</w:t>
      </w:r>
      <w:hyperlink r:id="rId67">
        <w:r>
          <w:rPr>
            <w:rStyle w:val="InternetLink"/>
          </w:rPr>
          <w:t xml:space="preserve">10.1016/j.neuro.2019.06.006</w:t>
        </w:r>
      </w:hyperlink>
    </w:p>
    <w:bookmarkEnd w:id="68"/>
    <w:bookmarkStart w:id="70"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2020;3(8):e2015041. doi:</w:t>
      </w:r>
      <w:hyperlink r:id="rId69">
        <w:r>
          <w:rPr>
            <w:rStyle w:val="InternetLink"/>
          </w:rPr>
          <w:t xml:space="preserve">10.1001/jamanetworkopen.2020.15041</w:t>
        </w:r>
      </w:hyperlink>
    </w:p>
    <w:bookmarkEnd w:id="70"/>
    <w:bookmarkStart w:id="72" w:name="ref-OhKimKannan:2023"/>
    <w:p>
      <w:pPr>
        <w:pStyle w:val="Bibliography"/>
      </w:pPr>
      <w:r>
        <w:t xml:space="preserve">16.</w:t>
      </w:r>
      <w:r>
        <w:t xml:space="preserve"> </w:t>
      </w:r>
      <w:r>
        <w:t xml:space="preserve">	</w:t>
      </w:r>
      <w:r>
        <w:t xml:space="preserve">Oh J, Kim K, Kannan K, et al. Early childhood exposure to environmental phenols and parabens, phthalates, organophosphate pesticides, and trace elements in association with attention deficit hyperactivity disorder (</w:t>
      </w:r>
      <w:r>
        <w:t xml:space="preserve">ADHD</w:t>
      </w:r>
      <w:r>
        <w:t xml:space="preserve">) symptoms in the</w:t>
      </w:r>
      <w:r>
        <w:t xml:space="preserve"> </w:t>
      </w:r>
      <w:r>
        <w:t xml:space="preserve">CHARGE</w:t>
      </w:r>
      <w:r>
        <w:t xml:space="preserve"> </w:t>
      </w:r>
      <w:r>
        <w:t xml:space="preserve">study.</w:t>
      </w:r>
      <w:r>
        <w:t xml:space="preserve"> </w:t>
      </w:r>
      <w:r>
        <w:rPr>
          <w:iCs/>
          <w:i/>
        </w:rPr>
        <w:t xml:space="preserve">Res Sq</w:t>
      </w:r>
      <w:r>
        <w:t xml:space="preserve">. Published online February 10, 2023:rs.3.rs-2565914. doi:</w:t>
      </w:r>
      <w:hyperlink r:id="rId71">
        <w:r>
          <w:rPr>
            <w:rStyle w:val="InternetLink"/>
          </w:rPr>
          <w:t xml:space="preserve">10.21203/rs.3.rs-2565914/v1</w:t>
        </w:r>
      </w:hyperlink>
    </w:p>
    <w:bookmarkEnd w:id="72"/>
    <w:bookmarkStart w:id="74"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2023;96:107161. doi:</w:t>
      </w:r>
      <w:hyperlink r:id="rId73">
        <w:r>
          <w:rPr>
            <w:rStyle w:val="InternetLink"/>
          </w:rPr>
          <w:t xml:space="preserve">10.1016/j.ntt.2023.107161</w:t>
        </w:r>
      </w:hyperlink>
    </w:p>
    <w:bookmarkEnd w:id="74"/>
    <w:bookmarkStart w:id="76"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2018;627:506-513. doi:</w:t>
      </w:r>
      <w:hyperlink r:id="rId75">
        <w:r>
          <w:rPr>
            <w:rStyle w:val="InternetLink"/>
          </w:rPr>
          <w:t xml:space="preserve">10.1016/j.scitotenv.2018.01.125</w:t>
        </w:r>
      </w:hyperlink>
    </w:p>
    <w:bookmarkEnd w:id="76"/>
    <w:bookmarkStart w:id="78"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2018;121:471-479. doi:</w:t>
      </w:r>
      <w:hyperlink r:id="rId77">
        <w:r>
          <w:rPr>
            <w:rStyle w:val="InternetLink"/>
          </w:rPr>
          <w:t xml:space="preserve">10.1016/j.envint.2018.09.037</w:t>
        </w:r>
      </w:hyperlink>
    </w:p>
    <w:bookmarkEnd w:id="78"/>
    <w:bookmarkStart w:id="80"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Published online October 16, 2023:kwad198. doi:</w:t>
      </w:r>
      <w:hyperlink r:id="rId79">
        <w:r>
          <w:rPr>
            <w:rStyle w:val="InternetLink"/>
          </w:rPr>
          <w:t xml:space="preserve">10.1093/aje/kwad198</w:t>
        </w:r>
      </w:hyperlink>
    </w:p>
    <w:bookmarkEnd w:id="80"/>
    <w:bookmarkStart w:id="82" w:name="ref-LupienMcEwenGunnar:2009"/>
    <w:p>
      <w:pPr>
        <w:pStyle w:val="Bibliography"/>
      </w:pPr>
      <w:r>
        <w:t xml:space="preserve">21.</w:t>
      </w:r>
      <w:r>
        <w:t xml:space="preserve"> </w:t>
      </w:r>
      <w:r>
        <w:t xml:space="preserve">	</w:t>
      </w:r>
      <w:r>
        <w:t xml:space="preserve">Lupien SJ, McEwen BS, Gunnar MR, Heim C. Effects of stress throughout the lifespan on the brain, behaviour and cognition.</w:t>
      </w:r>
      <w:r>
        <w:t xml:space="preserve"> </w:t>
      </w:r>
      <w:r>
        <w:rPr>
          <w:iCs/>
          <w:i/>
        </w:rPr>
        <w:t xml:space="preserve">Nat Rev Neurosci</w:t>
      </w:r>
      <w:r>
        <w:t xml:space="preserve">. 2009;10(6, 6):434-445. doi:</w:t>
      </w:r>
      <w:hyperlink r:id="rId81">
        <w:r>
          <w:rPr>
            <w:rStyle w:val="InternetLink"/>
          </w:rPr>
          <w:t xml:space="preserve">10.1038/nrn2639</w:t>
        </w:r>
      </w:hyperlink>
    </w:p>
    <w:bookmarkEnd w:id="82"/>
    <w:bookmarkStart w:id="84" w:name="ref-VrijheidSlamaRobinson:2014"/>
    <w:p>
      <w:pPr>
        <w:pStyle w:val="Bibliography"/>
      </w:pPr>
      <w:r>
        <w:t xml:space="preserve">22.</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83">
        <w:r>
          <w:rPr>
            <w:rStyle w:val="InternetLink"/>
          </w:rPr>
          <w:t xml:space="preserve">10.1289/ehp.1307204</w:t>
        </w:r>
      </w:hyperlink>
    </w:p>
    <w:bookmarkEnd w:id="84"/>
    <w:bookmarkStart w:id="86"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85">
        <w:r>
          <w:rPr>
            <w:rStyle w:val="InternetLink"/>
          </w:rPr>
          <w:t xml:space="preserve">10.1093/ije/dys112</w:t>
        </w:r>
      </w:hyperlink>
    </w:p>
    <w:bookmarkEnd w:id="86"/>
    <w:bookmarkStart w:id="88"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87">
        <w:r>
          <w:rPr>
            <w:rStyle w:val="InternetLink"/>
          </w:rPr>
          <w:t xml:space="preserve">10.1093/ije/dyv151</w:t>
        </w:r>
      </w:hyperlink>
    </w:p>
    <w:bookmarkEnd w:id="88"/>
    <w:bookmarkStart w:id="90"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89">
        <w:r>
          <w:rPr>
            <w:rStyle w:val="InternetLink"/>
          </w:rPr>
          <w:t xml:space="preserve">10.1093/ije/dyr054</w:t>
        </w:r>
      </w:hyperlink>
    </w:p>
    <w:bookmarkEnd w:id="90"/>
    <w:bookmarkStart w:id="92" w:name="Xd30c40380c9e99bac70b7fa3b0ada5ae8dec3e4"/>
    <w:p>
      <w:pPr>
        <w:pStyle w:val="Bibliography"/>
      </w:pPr>
      <w:r>
        <w:t xml:space="preserve">26.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91">
        <w:r>
          <w:rPr>
            <w:rStyle w:val="InternetLink"/>
          </w:rPr>
          <w:t xml:space="preserve">10.3390/ijerph6031282</w:t>
        </w:r>
      </w:hyperlink>
    </w:p>
    <w:bookmarkEnd w:id="92"/>
    <w:bookmarkStart w:id="94"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93">
        <w:r>
          <w:rPr>
            <w:rStyle w:val="InternetLink"/>
          </w:rPr>
          <w:t xml:space="preserve">10.1093/ije/dyl170</w:t>
        </w:r>
      </w:hyperlink>
    </w:p>
    <w:bookmarkEnd w:id="94"/>
    <w:bookmarkStart w:id="96"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95">
        <w:r>
          <w:rPr>
            <w:rStyle w:val="InternetLink"/>
          </w:rPr>
          <w:t xml:space="preserve">10.1093/aje/kwp211</w:t>
        </w:r>
      </w:hyperlink>
    </w:p>
    <w:bookmarkEnd w:id="96"/>
    <w:bookmarkStart w:id="98"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97">
        <w:r>
          <w:rPr>
            <w:rStyle w:val="InternetLink"/>
          </w:rPr>
          <w:t xml:space="preserve">10.1136/bmjopen-2017-021311</w:t>
        </w:r>
      </w:hyperlink>
    </w:p>
    <w:bookmarkEnd w:id="98"/>
    <w:bookmarkStart w:id="100" w:name="ref-TextorvanderZanderGilthorpe:2016"/>
    <w:p>
      <w:pPr>
        <w:pStyle w:val="Bibliography"/>
      </w:pPr>
      <w:r>
        <w:t xml:space="preserve">30.</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99">
        <w:r>
          <w:rPr>
            <w:rStyle w:val="InternetLink"/>
          </w:rPr>
          <w:t xml:space="preserve">10.1093/ije/dyw341</w:t>
        </w:r>
      </w:hyperlink>
    </w:p>
    <w:bookmarkEnd w:id="100"/>
    <w:bookmarkStart w:id="102" w:name="ref-Barrett:2023"/>
    <w:p>
      <w:pPr>
        <w:pStyle w:val="Bibliography"/>
      </w:pPr>
      <w:r>
        <w:t xml:space="preserve">31.</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101">
        <w:r>
          <w:rPr>
            <w:rStyle w:val="InternetLink"/>
          </w:rPr>
          <w:t xml:space="preserve">https://github.com/r-causal/ggdag</w:t>
        </w:r>
      </w:hyperlink>
    </w:p>
    <w:bookmarkEnd w:id="102"/>
    <w:bookmarkStart w:id="104" w:name="ref-HaugSakhiCequier:2018"/>
    <w:p>
      <w:pPr>
        <w:pStyle w:val="Bibliography"/>
      </w:pPr>
      <w:r>
        <w:t xml:space="preserve">32.</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103">
        <w:r>
          <w:rPr>
            <w:rStyle w:val="InternetLink"/>
          </w:rPr>
          <w:t xml:space="preserve">10.1016/j.envint.2018.09.056</w:t>
        </w:r>
      </w:hyperlink>
    </w:p>
    <w:bookmarkEnd w:id="104"/>
    <w:bookmarkStart w:id="106" w:name="ref-MarcosRenauCasals:2014"/>
    <w:p>
      <w:pPr>
        <w:pStyle w:val="Bibliography"/>
      </w:pPr>
      <w:r>
        <w:t xml:space="preserve">33.</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105">
        <w:r>
          <w:rPr>
            <w:rStyle w:val="InternetLink"/>
          </w:rPr>
          <w:t xml:space="preserve">10.1016/j.aca.2013.12.030</w:t>
        </w:r>
      </w:hyperlink>
    </w:p>
    <w:bookmarkEnd w:id="106"/>
    <w:bookmarkStart w:id="108" w:name="ref-Gomez-GomezPozo:2020"/>
    <w:p>
      <w:pPr>
        <w:pStyle w:val="Bibliography"/>
      </w:pPr>
      <w:r>
        <w:t xml:space="preserve">34.</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107">
        <w:r>
          <w:rPr>
            <w:rStyle w:val="InternetLink"/>
          </w:rPr>
          <w:t xml:space="preserve">10.1016/j.chroma.2020.461179</w:t>
        </w:r>
      </w:hyperlink>
    </w:p>
    <w:bookmarkEnd w:id="108"/>
    <w:bookmarkStart w:id="110" w:name="ref-RuedaFanMcCandliss:2004"/>
    <w:p>
      <w:pPr>
        <w:pStyle w:val="Bibliography"/>
      </w:pPr>
      <w:r>
        <w:t xml:space="preserve">35.</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109">
        <w:r>
          <w:rPr>
            <w:rStyle w:val="InternetLink"/>
          </w:rPr>
          <w:t xml:space="preserve">10.1016/j.neuropsychologia.2003.12.012</w:t>
        </w:r>
      </w:hyperlink>
    </w:p>
    <w:bookmarkEnd w:id="110"/>
    <w:bookmarkStart w:id="112" w:name="ref-SunyerEsnaolaAlvarez-Pedrerol:2015"/>
    <w:p>
      <w:pPr>
        <w:pStyle w:val="Bibliography"/>
      </w:pPr>
      <w:r>
        <w:t xml:space="preserve">36.</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111">
        <w:r>
          <w:rPr>
            <w:rStyle w:val="InternetLink"/>
          </w:rPr>
          <w:t xml:space="preserve">10.1371/journal.pmed.1001792</w:t>
        </w:r>
      </w:hyperlink>
    </w:p>
    <w:bookmarkEnd w:id="112"/>
    <w:bookmarkStart w:id="114"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113">
        <w:r>
          <w:rPr>
            <w:rStyle w:val="InternetLink"/>
          </w:rPr>
          <w:t xml:space="preserve">10.18637/jss.v074.i07</w:t>
        </w:r>
      </w:hyperlink>
    </w:p>
    <w:bookmarkEnd w:id="114"/>
    <w:bookmarkStart w:id="116" w:name="ref-LudeckeBen-ShacharPatil:2021"/>
    <w:p>
      <w:pPr>
        <w:pStyle w:val="Bibliography"/>
      </w:pPr>
      <w:r>
        <w:t xml:space="preserve">38.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115">
        <w:r>
          <w:rPr>
            <w:rStyle w:val="InternetLink"/>
          </w:rPr>
          <w:t xml:space="preserve">10.21105/joss.03139</w:t>
        </w:r>
      </w:hyperlink>
    </w:p>
    <w:bookmarkEnd w:id="116"/>
    <w:bookmarkStart w:id="117"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117"/>
    <w:bookmarkStart w:id="118" w:name="ref-Greifer:2023"/>
    <w:p>
      <w:pPr>
        <w:pStyle w:val="Bibliography"/>
      </w:pPr>
      <w:r>
        <w:t xml:space="preserve">40.</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118"/>
    <w:bookmarkStart w:id="120"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119">
        <w:r>
          <w:rPr>
            <w:rStyle w:val="InternetLink"/>
          </w:rPr>
          <w:t xml:space="preserve">10.1080/01621459.2023.2213485</w:t>
        </w:r>
      </w:hyperlink>
    </w:p>
    <w:bookmarkEnd w:id="120"/>
    <w:bookmarkStart w:id="121" w:name="ref-Greifer:2023a"/>
    <w:p>
      <w:pPr>
        <w:pStyle w:val="Bibliography"/>
      </w:pPr>
      <w:r>
        <w:t xml:space="preserve">42.</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121"/>
    <w:bookmarkStart w:id="123"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122">
        <w:r>
          <w:rPr>
            <w:rStyle w:val="InternetLink"/>
          </w:rPr>
          <w:t xml:space="preserve">10.2139/ssrn.3605606</w:t>
        </w:r>
      </w:hyperlink>
    </w:p>
    <w:bookmarkEnd w:id="123"/>
    <w:bookmarkStart w:id="125" w:name="ref-Arel-Bundock:2023"/>
    <w:p>
      <w:pPr>
        <w:pStyle w:val="Bibliography"/>
      </w:pPr>
      <w:r>
        <w:t xml:space="preserve">44.</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124">
        <w:r>
          <w:rPr>
            <w:rStyle w:val="InternetLink"/>
          </w:rPr>
          <w:t xml:space="preserve">https://marginaleffects.com/</w:t>
        </w:r>
      </w:hyperlink>
    </w:p>
    <w:bookmarkEnd w:id="125"/>
    <w:bookmarkStart w:id="127" w:name="ref-Zeileis:2004"/>
    <w:p>
      <w:pPr>
        <w:pStyle w:val="Bibliography"/>
      </w:pPr>
      <w:r>
        <w:t xml:space="preserve">45.</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126">
        <w:r>
          <w:rPr>
            <w:rStyle w:val="InternetLink"/>
          </w:rPr>
          <w:t xml:space="preserve">10.18637/jss.v011.i10</w:t>
        </w:r>
      </w:hyperlink>
    </w:p>
    <w:bookmarkEnd w:id="127"/>
    <w:bookmarkStart w:id="129" w:name="ref-ZeileisKollGraham:2020"/>
    <w:p>
      <w:pPr>
        <w:pStyle w:val="Bibliography"/>
      </w:pPr>
      <w:r>
        <w:t xml:space="preserve">46.</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128">
        <w:r>
          <w:rPr>
            <w:rStyle w:val="InternetLink"/>
          </w:rPr>
          <w:t xml:space="preserve">10.18637/jss.v095.i01</w:t>
        </w:r>
      </w:hyperlink>
    </w:p>
    <w:bookmarkEnd w:id="129"/>
    <w:bookmarkStart w:id="131"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130">
        <w:r>
          <w:rPr>
            <w:rStyle w:val="InternetLink"/>
          </w:rPr>
          <w:t xml:space="preserve">10.1016/j.envint.2018.09.046</w:t>
        </w:r>
      </w:hyperlink>
    </w:p>
    <w:bookmarkEnd w:id="131"/>
    <w:bookmarkEnd w:id="132"/>
    <w:p>
      <w:r>
        <w:br w:type="page"/>
      </w:r>
    </w:p>
    <w:bookmarkEnd w:id="133"/>
    <w:bookmarkStart w:id="141" w:name="tables-for-descriptive-data"/>
    <w:p>
      <w:pPr>
        <w:pStyle w:val="Heading1"/>
      </w:pPr>
      <w:r>
        <w:t xml:space="preserve">Tables for descriptive data</w:t>
      </w:r>
    </w:p>
    <w:bookmarkStart w:id="135"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4" w:name="tbl-pop-desc"/>
          <w:p>
            <w:pPr>
              <w:jc w:val="center"/>
            </w:pPr>
            <w:pPr>
              <w:jc w:val="start"/>
              <w:spacing w:before="200"/>
              <w:pStyle w:val="ImageCaption"/>
            </w:pPr>
            <w:r>
              <w:t xml:space="preserve">Table 1:</w:t>
            </w:r>
            <w:r>
              <w:t xml:space="preserve"> </w:t>
            </w:r>
            <w:r>
              <w:rPr>
                <w:bCs/>
                <w:b/>
              </w:rPr>
              <w:t xml:space="preserve">Participant characteristics,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34"/>
        </w:tc>
      </w:tr>
    </w:tbl>
    <w:bookmarkEnd w:id="135"/>
    <w:bookmarkStart w:id="137"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6"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6"/>
        </w:tc>
      </w:tr>
    </w:tbl>
    <w:bookmarkEnd w:id="137"/>
    <w:bookmarkStart w:id="140"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8" w:name="tbl-met-desc"/>
          <w:p>
            <w:pPr>
              <w:jc w:val="center"/>
            </w:pPr>
            <w:pPr>
              <w:jc w:val="start"/>
              <w:spacing w:before="200"/>
              <w:pStyle w:val="ImageCaption"/>
            </w:pPr>
            <w:r>
              <w:t xml:space="preserve">Table 3:</w:t>
            </w:r>
            <w:r>
              <w:t xml:space="preserve"> </w:t>
            </w:r>
            <w:r>
              <w:rPr>
                <w:bCs/>
                <w:b/>
              </w:rPr>
              <w:t xml:space="preserve">Participants glucocorticosteroids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9" w:name="tbl-met-new-desc"/>
          <w:p>
            <w:pPr>
              <w:jc w:val="center"/>
            </w:pPr>
            <w:pPr>
              <w:jc w:val="start"/>
              <w:spacing w:before="200"/>
              <w:pStyle w:val="ImageCaption"/>
            </w:pPr>
            <w:r>
              <w:t xml:space="preserve">Table 4:</w:t>
            </w:r>
            <w:r>
              <w:t xml:space="preserve"> </w:t>
            </w:r>
            <w:r>
              <w:rPr>
                <w:bCs/>
                <w:b/>
              </w:rPr>
              <w:t xml:space="preserve">Participants derived glucocorticosteroids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(2,861, 6,788)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5,848 (3,817, 8,336)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5,190 (3,204, 7,748)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4,550 (2,561, 6,895)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3,700 (2,220, 5,735)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 (2,720, 7,295)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4,416 (2,713, 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(2,921, 6,844)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5,503 (3,888, 7,184)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5,477 (3,490, 7,997)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4,085 (2,326, 5,918)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4,346 (2,511,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 (3,205, 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 (2,645, 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(158,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(172, 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(196, 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(131, 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(161,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(168,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9"/>
        </w:tc>
      </w:tr>
    </w:tbl>
    <w:bookmarkEnd w:id="140"/>
    <w:bookmarkEnd w:id="141"/>
    <w:bookmarkStart w:id="146" w:name="tables-for-other-analyses"/>
    <w:p>
      <w:pPr>
        <w:pStyle w:val="Heading1"/>
      </w:pPr>
      <w:r>
        <w:t xml:space="preserve">Tables for other analyses</w:t>
      </w:r>
    </w:p>
    <w:bookmarkStart w:id="145"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2" w:name="tbl-hypothesis-1"/>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tbl-hypothesis-2"/>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EDCs on the glucocorticosteroids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tbl-hypothesis-3"/>
          <w:p>
            <w:pPr>
              <w:jc w:val="center"/>
            </w:pPr>
            <w:pPr>
              <w:jc w:val="start"/>
              <w:spacing w:before="200"/>
              <w:pStyle w:val="ImageCaption"/>
            </w:pPr>
            <w:r>
              <w:t xml:space="preserve">Table 7:</w:t>
            </w:r>
            <w:r>
              <w:t xml:space="preserve"> </w:t>
            </w:r>
            <w:r>
              <w:rPr>
                <w:bCs/>
                <w:b/>
              </w:rPr>
              <w:t xml:space="preserve">Pairwise differences between sex-specific marginal contrasts for the effect of the glucocorticosteroids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4"/>
        </w:tc>
      </w:tr>
    </w:tbl>
    <w:p>
      <w:r>
        <w:br w:type="page"/>
      </w:r>
    </w:p>
    <w:bookmarkEnd w:id="145"/>
    <w:bookmarkEnd w:id="146"/>
    <w:bookmarkStart w:id="160" w:name="figures-for-main-results"/>
    <w:p>
      <w:pPr>
        <w:pStyle w:val="Heading1"/>
      </w:pPr>
      <w:r>
        <w:t xml:space="preserve">Figures for main results</w:t>
      </w:r>
    </w:p>
    <w:bookmarkStart w:id="159"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50" w:name="fig-marginal-1"/>
          <w:p>
            <w:pPr>
              <w:jc w:val="center"/>
            </w:pPr>
            <w:r>
              <w:drawing>
                <wp:inline>
                  <wp:extent cx="5943600" cy="6603999"/>
                  <wp:effectExtent b="0" l="0" r="0" t="0"/>
                  <wp:docPr descr="" title="" id="148" name="Picture"/>
                  <a:graphic>
                    <a:graphicData uri="http://schemas.openxmlformats.org/drawingml/2006/picture">
                      <pic:pic>
                        <pic:nvPicPr>
                          <pic:cNvPr descr="manuscript_files/figure-docx/marginal-1-1.png" id="149" name="Picture"/>
                          <pic:cNvPicPr>
                            <a:picLocks noChangeArrowheads="1" noChangeAspect="1"/>
                          </pic:cNvPicPr>
                        </pic:nvPicPr>
                        <pic:blipFill>
                          <a:blip r:embed="rId147"/>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4" w:name="fig-marginal-2"/>
          <w:p>
            <w:pPr>
              <w:jc w:val="center"/>
            </w:pPr>
            <w:r>
              <w:drawing>
                <wp:inline>
                  <wp:extent cx="5943600" cy="7924799"/>
                  <wp:effectExtent b="0" l="0" r="0" t="0"/>
                  <wp:docPr descr="" title="" id="152" name="Picture"/>
                  <a:graphic>
                    <a:graphicData uri="http://schemas.openxmlformats.org/drawingml/2006/picture">
                      <pic:pic>
                        <pic:nvPicPr>
                          <pic:cNvPr descr="manuscript_files/figure-docx/marginal-2-1.png" id="153" name="Picture"/>
                          <pic:cNvPicPr>
                            <a:picLocks noChangeArrowheads="1" noChangeAspect="1"/>
                          </pic:cNvPicPr>
                        </pic:nvPicPr>
                        <pic:blipFill>
                          <a:blip r:embed="rId151"/>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Study;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fig-marginal-3"/>
          <w:p>
            <w:pPr>
              <w:jc w:val="center"/>
            </w:pPr>
            <w:r>
              <w:drawing>
                <wp:inline>
                  <wp:extent cx="5943600" cy="3301999"/>
                  <wp:effectExtent b="0" l="0" r="0" t="0"/>
                  <wp:docPr descr="" title="" id="156" name="Picture"/>
                  <a:graphic>
                    <a:graphicData uri="http://schemas.openxmlformats.org/drawingml/2006/picture">
                      <pic:pic>
                        <pic:nvPicPr>
                          <pic:cNvPr descr="manuscript_files/figure-docx/marginal-3-1.png" id="157" name="Picture"/>
                          <pic:cNvPicPr>
                            <a:picLocks noChangeArrowheads="1" noChangeAspect="1"/>
                          </pic:cNvPicPr>
                        </pic:nvPicPr>
                        <pic:blipFill>
                          <a:blip r:embed="rId155"/>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8"/>
        </w:tc>
      </w:tr>
    </w:tbl>
    <w:p>
      <w:r>
        <w:br w:type="page"/>
      </w:r>
    </w:p>
    <w:p>
      <w:pPr>
        <w:numPr>
          <w:ilvl w:val="0"/>
          <w:numId w:val="1003"/>
        </w:numPr>
        <w:pStyle w:val="Compact"/>
      </w:pPr>
      <w:r>
        <w:t xml:space="preserve">Files for supplementary data must be accompanied by a summary of the file names and types.</w:t>
      </w:r>
    </w:p>
    <w:bookmarkEnd w:id="159"/>
    <w:bookmarkEnd w:id="160"/>
    <w:bookmarkStart w:id="162" w:name="supplementary-information"/>
    <w:p>
      <w:pPr>
        <w:pStyle w:val="Heading1"/>
      </w:pPr>
      <w:r>
        <w:t xml:space="preserve">Supplementary information</w:t>
      </w:r>
    </w:p>
    <w:bookmarkStart w:id="16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1"/>
    <w:bookmarkEnd w:id="162"/>
    <w:bookmarkStart w:id="186" w:name="supplementary-tables"/>
    <w:p>
      <w:pPr>
        <w:pStyle w:val="Heading1"/>
      </w:pPr>
      <w:r>
        <w:t xml:space="preserve">Supplementary tables</w:t>
      </w:r>
    </w:p>
    <w:bookmarkStart w:id="172" w:name="tables-for-descriptive-data-1"/>
    <w:p>
      <w:pPr>
        <w:pStyle w:val="Heading2"/>
      </w:pPr>
      <w:r>
        <w:t xml:space="preserve">Tables for descriptive data</w:t>
      </w:r>
    </w:p>
    <w:bookmarkStart w:id="166"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63"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6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6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65"/>
        </w:tc>
      </w:tr>
    </w:tbl>
    <w:bookmarkEnd w:id="166"/>
    <w:bookmarkStart w:id="168"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7"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7"/>
        </w:tc>
      </w:tr>
    </w:tbl>
    <w:bookmarkEnd w:id="168"/>
    <w:bookmarkStart w:id="171"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9"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S5:</w:t>
            </w:r>
            <w:r>
              <w:t xml:space="preserve"> </w:t>
            </w:r>
            <w:r>
              <w:rPr>
                <w:bCs/>
                <w:b/>
              </w:rPr>
              <w:t xml:space="preserve">Information about the glucocorticosteroids, including the full metabolite name, the standard symbol, the identifier from the HMDB, and the CAS number.</w:t>
            </w:r>
          </w:p>
          <w:bookmarkEnd w:id="16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S6:</w:t>
            </w:r>
            <w:r>
              <w:t xml:space="preserve"> </w:t>
            </w:r>
            <w:r>
              <w:rPr>
                <w:bCs/>
                <w:b/>
              </w:rPr>
              <w:t xml:space="preserve">Lower limits of quantification for the glucocorticosteroids (HELIX Study; 2013-2016).</w:t>
            </w:r>
          </w:p>
          <w:bookmarkEnd w:id="170"/>
        </w:tc>
      </w:tr>
    </w:tbl>
    <w:bookmarkEnd w:id="171"/>
    <w:bookmarkEnd w:id="172"/>
    <w:bookmarkStart w:id="180" w:name="tables-for-main-results"/>
    <w:p>
      <w:pPr>
        <w:pStyle w:val="Heading2"/>
      </w:pPr>
      <w:r>
        <w:t xml:space="preserve">Tables for main results</w:t>
      </w:r>
    </w:p>
    <w:bookmarkStart w:id="179"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73"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S7:</w:t>
            </w:r>
            <w:r>
              <w:t xml:space="preserve"> </w:t>
            </w:r>
            <w:r>
              <w:rPr>
                <w:bCs/>
                <w:b/>
              </w:rPr>
              <w:t xml:space="preserve">Effective sample size before and after balancing weights estimation (exposures: EDCs; outcome: HRT-SE) (HELIX Study; 2013-2016).</w:t>
            </w:r>
          </w:p>
          <w:bookmarkEnd w:id="17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4"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outcomes: glucocorticosteroids) (HELIX Study; 2013-2016).</w:t>
            </w:r>
          </w:p>
          <w:bookmarkEnd w:id="17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5"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glucocorticosteroids; outcome: HRT-SE) (HELIX Study; 2013-2016).</w:t>
            </w:r>
          </w:p>
          <w:bookmarkEnd w:id="175"/>
        </w:tc>
      </w:tr>
    </w:tbl>
    <w:p/>
    <w:tbl>
      <w:tblPr>
        <w:tblStyle w:val="Table"/>
        <w:tblW w:type="pct" w:w="5000"/>
        <w:tblLook w:firstRow="0" w:lastRow="0" w:firstColumn="0" w:lastColumn="0" w:noHBand="0" w:noVBand="0" w:val="0000"/>
        <w:jc w:val="start"/>
        <w:tblLayout w:type="fixed"/>
      </w:tblPr>
      <w:tblGrid>
        <w:gridCol w:w="7920"/>
      </w:tblGrid>
      <w:tr>
        <w:tc>
          <w:tcPr/>
          <w:bookmarkStart w:id="176"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Summary statistics of the estimated balancing weights (exposures: EDCs; outcome: HRT-SE) (HELIX Study; 2013-2016).</w:t>
            </w:r>
          </w:p>
          <w:bookmarkEnd w:id="17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outcomes: glucocorticosteroids) (HELIX Study; 2013-2016).</w:t>
            </w:r>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glucocorticosteroids; outcome: HRT-SE) (HELIX Study; 2013-2016).</w:t>
            </w:r>
          </w:p>
          <w:bookmarkEnd w:id="178"/>
        </w:tc>
      </w:tr>
    </w:tbl>
    <w:bookmarkEnd w:id="179"/>
    <w:bookmarkEnd w:id="180"/>
    <w:bookmarkStart w:id="185" w:name="tables-for-other-results"/>
    <w:p>
      <w:pPr>
        <w:pStyle w:val="Heading2"/>
      </w:pPr>
      <w:r>
        <w:t xml:space="preserve">Tables for other results</w:t>
      </w:r>
    </w:p>
    <w:bookmarkStart w:id="184"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for effect modification (exposures: EDCs; outcome: HRT-SE; modifier: sex) (HELIX Study; 2013-2016).</w:t>
            </w:r>
          </w:p>
          <w:bookmarkEnd w:id="18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2"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outcomes: glucocorticosteroids; modifier: sex) (HELIX Study; 2013-2016).</w:t>
            </w:r>
          </w:p>
          <w:bookmarkEnd w:id="18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3"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glucocorticosteroids; outcome: HRT-SE; modifier: sex) (HELIX Study; 2013-2016).</w:t>
            </w:r>
          </w:p>
          <w:bookmarkEnd w:id="183"/>
        </w:tc>
      </w:tr>
    </w:tbl>
    <w:bookmarkEnd w:id="184"/>
    <w:bookmarkEnd w:id="185"/>
    <w:bookmarkEnd w:id="186"/>
    <w:bookmarkStart w:id="213" w:name="supplementary-figures"/>
    <w:p>
      <w:pPr>
        <w:pStyle w:val="Heading1"/>
      </w:pPr>
      <w:r>
        <w:t xml:space="preserve">Supplementary figures</w:t>
      </w:r>
    </w:p>
    <w:bookmarkStart w:id="197" w:name="figures-for-descriptive-data"/>
    <w:p>
      <w:pPr>
        <w:pStyle w:val="Heading2"/>
      </w:pPr>
      <w:r>
        <w:t xml:space="preserve">Figures for descriptive data</w:t>
      </w:r>
    </w:p>
    <w:bookmarkStart w:id="191"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90" w:name="suppfig-desc-chems"/>
          <w:p>
            <w:pPr>
              <w:jc w:val="center"/>
            </w:pPr>
            <w:r>
              <w:drawing>
                <wp:inline>
                  <wp:extent cx="5544151" cy="6468176"/>
                  <wp:effectExtent b="0" l="0" r="0" t="0"/>
                  <wp:docPr descr="" title="" id="188" name="Picture"/>
                  <a:graphic>
                    <a:graphicData uri="http://schemas.openxmlformats.org/drawingml/2006/picture">
                      <pic:pic>
                        <pic:nvPicPr>
                          <pic:cNvPr descr="manuscript_files/figure-docx/desc-chems-lod-1.png" id="189" name="Picture"/>
                          <pic:cNvPicPr>
                            <a:picLocks noChangeArrowheads="1" noChangeAspect="1"/>
                          </pic:cNvPicPr>
                        </pic:nvPicPr>
                        <pic:blipFill>
                          <a:blip r:embed="rId18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w:t>
            </w:r>
            <w:r>
              <w:t xml:space="preserve"> </w:t>
            </w:r>
            <w:r>
              <w:rPr>
                <w:bCs/>
                <w:b/>
              </w:rPr>
              <w:t xml:space="preserve">Measurement classification of EDCs, by cohort (HELIX Study; 2013-2016).</w:t>
            </w:r>
            <w:r>
              <w:t xml:space="preserve"> </w:t>
            </w:r>
            <w:r>
              <w:t xml:space="preserve">Coding: 1, quantifiable; 2, &lt;LOD; 3, interference or out of range; 4. not analysed.</w:t>
            </w:r>
          </w:p>
          <w:bookmarkEnd w:id="190"/>
        </w:tc>
      </w:tr>
    </w:tbl>
    <w:bookmarkEnd w:id="191"/>
    <w:bookmarkStart w:id="196"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95" w:name="suppfig-desc-mets"/>
          <w:p>
            <w:pPr>
              <w:jc w:val="center"/>
            </w:pPr>
            <w:r>
              <w:drawing>
                <wp:inline>
                  <wp:extent cx="5544151" cy="6468176"/>
                  <wp:effectExtent b="0" l="0" r="0" t="0"/>
                  <wp:docPr descr="" title="" id="193" name="Picture"/>
                  <a:graphic>
                    <a:graphicData uri="http://schemas.openxmlformats.org/drawingml/2006/picture">
                      <pic:pic>
                        <pic:nvPicPr>
                          <pic:cNvPr descr="manuscript_files/figure-docx/desc-mets-lod-1.png" id="194" name="Picture"/>
                          <pic:cNvPicPr>
                            <a:picLocks noChangeArrowheads="1" noChangeAspect="1"/>
                          </pic:cNvPicPr>
                        </pic:nvPicPr>
                        <pic:blipFill>
                          <a:blip r:embed="rId192"/>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the glucocorticosteroids, by cohort (HELIX Study; 2013-2016).</w:t>
            </w:r>
            <w:r>
              <w:t xml:space="preserve"> </w:t>
            </w:r>
            <w:r>
              <w:t xml:space="preserve">Coding: 1, quantifiable; 2, &lt;LOQ; 3, interference or out of range; 4, not detected.</w:t>
            </w:r>
          </w:p>
          <w:bookmarkEnd w:id="195"/>
        </w:tc>
      </w:tr>
    </w:tbl>
    <w:bookmarkEnd w:id="196"/>
    <w:bookmarkEnd w:id="197"/>
    <w:bookmarkStart w:id="212" w:name="figures-for-other-results"/>
    <w:p>
      <w:pPr>
        <w:pStyle w:val="Heading2"/>
      </w:pPr>
      <w:r>
        <w:t xml:space="preserve">Figures for other results</w:t>
      </w:r>
    </w:p>
    <w:bookmarkStart w:id="21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1" w:name="suppfig-marginal-1sa"/>
          <w:p>
            <w:pPr>
              <w:jc w:val="center"/>
            </w:pPr>
            <w:r>
              <w:drawing>
                <wp:inline>
                  <wp:extent cx="5544151" cy="6468176"/>
                  <wp:effectExtent b="0" l="0" r="0" t="0"/>
                  <wp:docPr descr="" title="" id="199" name="Picture"/>
                  <a:graphic>
                    <a:graphicData uri="http://schemas.openxmlformats.org/drawingml/2006/picture">
                      <pic:pic>
                        <pic:nvPicPr>
                          <pic:cNvPr descr="manuscript_files/figure-docx/marginal-1sa-1.png" id="200" name="Picture"/>
                          <pic:cNvPicPr>
                            <a:picLocks noChangeArrowheads="1" noChangeAspect="1"/>
                          </pic:cNvPicPr>
                        </pic:nvPicPr>
                        <pic:blipFill>
                          <a:blip r:embed="rId19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Marginal contrasts for effect modification (exposures: EDCs;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5" w:name="suppfig-marginal-2sa"/>
          <w:p>
            <w:pPr>
              <w:jc w:val="center"/>
            </w:pPr>
            <w:r>
              <w:drawing>
                <wp:inline>
                  <wp:extent cx="5943600" cy="7924799"/>
                  <wp:effectExtent b="0" l="0" r="0" t="0"/>
                  <wp:docPr descr="" title="" id="203" name="Picture"/>
                  <a:graphic>
                    <a:graphicData uri="http://schemas.openxmlformats.org/drawingml/2006/picture">
                      <pic:pic>
                        <pic:nvPicPr>
                          <pic:cNvPr descr="manuscript_files/figure-docx/marginal-2sa-1.png" id="204" name="Picture"/>
                          <pic:cNvPicPr>
                            <a:picLocks noChangeArrowheads="1" noChangeAspect="1"/>
                          </pic:cNvPicPr>
                        </pic:nvPicPr>
                        <pic:blipFill>
                          <a:blip r:embed="rId202"/>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outcomes: glucocorticosteroids;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3sa"/>
          <w:p>
            <w:pPr>
              <w:jc w:val="center"/>
            </w:pPr>
            <w:r>
              <w:drawing>
                <wp:inline>
                  <wp:extent cx="5544151" cy="4620126"/>
                  <wp:effectExtent b="0" l="0" r="0" t="0"/>
                  <wp:docPr descr="" title="" id="207" name="Picture"/>
                  <a:graphic>
                    <a:graphicData uri="http://schemas.openxmlformats.org/drawingml/2006/picture">
                      <pic:pic>
                        <pic:nvPicPr>
                          <pic:cNvPr descr="manuscript_files/figure-docx/marginal-3sa-1.png" id="208" name="Picture"/>
                          <pic:cNvPicPr>
                            <a:picLocks noChangeArrowheads="1" noChangeAspect="1"/>
                          </pic:cNvPicPr>
                        </pic:nvPicPr>
                        <pic:blipFill>
                          <a:blip r:embed="rId206"/>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glucocorticosteroids;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bookmarkEnd w:id="210"/>
    <w:bookmarkStart w:id="211" w:name="sensitivity-to-exposure-assessment-1"/>
    <w:p>
      <w:pPr>
        <w:pStyle w:val="Heading3"/>
      </w:pPr>
      <w:r>
        <w:t xml:space="preserve">Sensitivity to exposure assessment</w:t>
      </w:r>
    </w:p>
    <w:bookmarkEnd w:id="211"/>
    <w:bookmarkEnd w:id="212"/>
    <w:bookmarkEnd w:id="213"/>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47" Target="media/rId147.png" /><Relationship Type="http://schemas.openxmlformats.org/officeDocument/2006/relationships/image" Id="rId198" Target="media/rId198.png" /><Relationship Type="http://schemas.openxmlformats.org/officeDocument/2006/relationships/image" Id="rId151" Target="media/rId151.png" /><Relationship Type="http://schemas.openxmlformats.org/officeDocument/2006/relationships/image" Id="rId202" Target="media/rId202.png" /><Relationship Type="http://schemas.openxmlformats.org/officeDocument/2006/relationships/image" Id="rId155" Target="media/rId155.png" /><Relationship Type="http://schemas.openxmlformats.org/officeDocument/2006/relationships/image" Id="rId206" Target="media/rId206.png" /><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05" Target="https://doi.org/10.1016/j.aca.2013.12.030" TargetMode="External" /><Relationship Type="http://schemas.openxmlformats.org/officeDocument/2006/relationships/hyperlink" Id="rId107" Target="https://doi.org/10.1016/j.chroma.2020.461179" TargetMode="External" /><Relationship Type="http://schemas.openxmlformats.org/officeDocument/2006/relationships/hyperlink" Id="rId47" Target="https://doi.org/10.1016/j.envint.2015.09.019" TargetMode="External" /><Relationship Type="http://schemas.openxmlformats.org/officeDocument/2006/relationships/hyperlink" Id="rId77" Target="https://doi.org/10.1016/j.envint.2018.09.037" TargetMode="External" /><Relationship Type="http://schemas.openxmlformats.org/officeDocument/2006/relationships/hyperlink" Id="rId130" Target="https://doi.org/10.1016/j.envint.2018.09.046" TargetMode="External" /><Relationship Type="http://schemas.openxmlformats.org/officeDocument/2006/relationships/hyperlink" Id="rId103" Target="https://doi.org/10.1016/j.envint.2018.09.056" TargetMode="External" /><Relationship Type="http://schemas.openxmlformats.org/officeDocument/2006/relationships/hyperlink" Id="rId65" Target="https://doi.org/10.1016/j.envpol.2017.12.056" TargetMode="External" /><Relationship Type="http://schemas.openxmlformats.org/officeDocument/2006/relationships/hyperlink" Id="rId53" Target="https://doi.org/10.1016/j.envres.2016.05.040" TargetMode="External" /><Relationship Type="http://schemas.openxmlformats.org/officeDocument/2006/relationships/hyperlink" Id="rId57" Target="https://doi.org/10.1016/j.envres.2017.03.016" TargetMode="External" /><Relationship Type="http://schemas.openxmlformats.org/officeDocument/2006/relationships/hyperlink" Id="rId59" Target="https://doi.org/10.1016/j.envres.2017.04.003" TargetMode="External" /><Relationship Type="http://schemas.openxmlformats.org/officeDocument/2006/relationships/hyperlink" Id="rId61" Target="https://doi.org/10.1016/j.envres.2017.07.023" TargetMode="External" /><Relationship Type="http://schemas.openxmlformats.org/officeDocument/2006/relationships/hyperlink" Id="rId43" Target="https://doi.org/10.1016/j.envres.2021.111890" TargetMode="External" /><Relationship Type="http://schemas.openxmlformats.org/officeDocument/2006/relationships/hyperlink" Id="rId67" Target="https://doi.org/10.1016/j.neuro.2019.06.006" TargetMode="External" /><Relationship Type="http://schemas.openxmlformats.org/officeDocument/2006/relationships/hyperlink" Id="rId109" Target="https://doi.org/10.1016/j.neuropsychologia.2003.12.012" TargetMode="External" /><Relationship Type="http://schemas.openxmlformats.org/officeDocument/2006/relationships/hyperlink" Id="rId73" Target="https://doi.org/10.1016/j.ntt.2023.107161" TargetMode="External" /><Relationship Type="http://schemas.openxmlformats.org/officeDocument/2006/relationships/hyperlink" Id="rId75" Target="https://doi.org/10.1016/j.scitotenv.2018.01.125" TargetMode="External" /><Relationship Type="http://schemas.openxmlformats.org/officeDocument/2006/relationships/hyperlink" Id="rId63" Target="https://doi.org/10.1038/nrendo.2016.186" TargetMode="External" /><Relationship Type="http://schemas.openxmlformats.org/officeDocument/2006/relationships/hyperlink" Id="rId81" Target="https://doi.org/10.1038/nrn2639"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55" Target="https://doi.org/10.1111/andr.12183" TargetMode="External" /><Relationship Type="http://schemas.openxmlformats.org/officeDocument/2006/relationships/hyperlink" Id="rId97" Target="https://doi.org/10.1136/bmjopen-2017-021311" TargetMode="External" /><Relationship Type="http://schemas.openxmlformats.org/officeDocument/2006/relationships/hyperlink" Id="rId83" Target="https://doi.org/10.1289/ehp.1307204" TargetMode="External" /><Relationship Type="http://schemas.openxmlformats.org/officeDocument/2006/relationships/hyperlink" Id="rId51" Target="https://doi.org/10.1289/ehp.1409472" TargetMode="External" /><Relationship Type="http://schemas.openxmlformats.org/officeDocument/2006/relationships/hyperlink" Id="rId111" Target="https://doi.org/10.1371/journal.pmed.1001792" TargetMode="External" /><Relationship Type="http://schemas.openxmlformats.org/officeDocument/2006/relationships/hyperlink" Id="rId49" Target="https://doi.org/10.1371/journal.pone.0131910"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122" Target="https://doi.org/10.2139/ssrn.3605606" TargetMode="External" /><Relationship Type="http://schemas.openxmlformats.org/officeDocument/2006/relationships/hyperlink" Id="rId91" Target="https://doi.org/10.3390/ijerph6031282" TargetMode="External" /><Relationship Type="http://schemas.openxmlformats.org/officeDocument/2006/relationships/hyperlink" Id="rId101" Target="https://github.com/r-causal/ggdag" TargetMode="External" /><Relationship Type="http://schemas.openxmlformats.org/officeDocument/2006/relationships/hyperlink" Id="rId124"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05" Target="https://doi.org/10.1016/j.aca.2013.12.030" TargetMode="External" /><Relationship Type="http://schemas.openxmlformats.org/officeDocument/2006/relationships/hyperlink" Id="rId107" Target="https://doi.org/10.1016/j.chroma.2020.461179" TargetMode="External" /><Relationship Type="http://schemas.openxmlformats.org/officeDocument/2006/relationships/hyperlink" Id="rId47" Target="https://doi.org/10.1016/j.envint.2015.09.019" TargetMode="External" /><Relationship Type="http://schemas.openxmlformats.org/officeDocument/2006/relationships/hyperlink" Id="rId77" Target="https://doi.org/10.1016/j.envint.2018.09.037" TargetMode="External" /><Relationship Type="http://schemas.openxmlformats.org/officeDocument/2006/relationships/hyperlink" Id="rId130" Target="https://doi.org/10.1016/j.envint.2018.09.046" TargetMode="External" /><Relationship Type="http://schemas.openxmlformats.org/officeDocument/2006/relationships/hyperlink" Id="rId103" Target="https://doi.org/10.1016/j.envint.2018.09.056" TargetMode="External" /><Relationship Type="http://schemas.openxmlformats.org/officeDocument/2006/relationships/hyperlink" Id="rId65" Target="https://doi.org/10.1016/j.envpol.2017.12.056" TargetMode="External" /><Relationship Type="http://schemas.openxmlformats.org/officeDocument/2006/relationships/hyperlink" Id="rId53" Target="https://doi.org/10.1016/j.envres.2016.05.040" TargetMode="External" /><Relationship Type="http://schemas.openxmlformats.org/officeDocument/2006/relationships/hyperlink" Id="rId57" Target="https://doi.org/10.1016/j.envres.2017.03.016" TargetMode="External" /><Relationship Type="http://schemas.openxmlformats.org/officeDocument/2006/relationships/hyperlink" Id="rId59" Target="https://doi.org/10.1016/j.envres.2017.04.003" TargetMode="External" /><Relationship Type="http://schemas.openxmlformats.org/officeDocument/2006/relationships/hyperlink" Id="rId61" Target="https://doi.org/10.1016/j.envres.2017.07.023" TargetMode="External" /><Relationship Type="http://schemas.openxmlformats.org/officeDocument/2006/relationships/hyperlink" Id="rId43" Target="https://doi.org/10.1016/j.envres.2021.111890" TargetMode="External" /><Relationship Type="http://schemas.openxmlformats.org/officeDocument/2006/relationships/hyperlink" Id="rId67" Target="https://doi.org/10.1016/j.neuro.2019.06.006" TargetMode="External" /><Relationship Type="http://schemas.openxmlformats.org/officeDocument/2006/relationships/hyperlink" Id="rId109" Target="https://doi.org/10.1016/j.neuropsychologia.2003.12.012" TargetMode="External" /><Relationship Type="http://schemas.openxmlformats.org/officeDocument/2006/relationships/hyperlink" Id="rId73" Target="https://doi.org/10.1016/j.ntt.2023.107161" TargetMode="External" /><Relationship Type="http://schemas.openxmlformats.org/officeDocument/2006/relationships/hyperlink" Id="rId75" Target="https://doi.org/10.1016/j.scitotenv.2018.01.125" TargetMode="External" /><Relationship Type="http://schemas.openxmlformats.org/officeDocument/2006/relationships/hyperlink" Id="rId63" Target="https://doi.org/10.1038/nrendo.2016.186" TargetMode="External" /><Relationship Type="http://schemas.openxmlformats.org/officeDocument/2006/relationships/hyperlink" Id="rId81" Target="https://doi.org/10.1038/nrn2639"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55" Target="https://doi.org/10.1111/andr.12183" TargetMode="External" /><Relationship Type="http://schemas.openxmlformats.org/officeDocument/2006/relationships/hyperlink" Id="rId97" Target="https://doi.org/10.1136/bmjopen-2017-021311" TargetMode="External" /><Relationship Type="http://schemas.openxmlformats.org/officeDocument/2006/relationships/hyperlink" Id="rId83" Target="https://doi.org/10.1289/ehp.1307204" TargetMode="External" /><Relationship Type="http://schemas.openxmlformats.org/officeDocument/2006/relationships/hyperlink" Id="rId51" Target="https://doi.org/10.1289/ehp.1409472" TargetMode="External" /><Relationship Type="http://schemas.openxmlformats.org/officeDocument/2006/relationships/hyperlink" Id="rId111" Target="https://doi.org/10.1371/journal.pmed.1001792" TargetMode="External" /><Relationship Type="http://schemas.openxmlformats.org/officeDocument/2006/relationships/hyperlink" Id="rId49" Target="https://doi.org/10.1371/journal.pone.0131910"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122" Target="https://doi.org/10.2139/ssrn.3605606" TargetMode="External" /><Relationship Type="http://schemas.openxmlformats.org/officeDocument/2006/relationships/hyperlink" Id="rId91" Target="https://doi.org/10.3390/ijerph6031282" TargetMode="External" /><Relationship Type="http://schemas.openxmlformats.org/officeDocument/2006/relationships/hyperlink" Id="rId101" Target="https://github.com/r-causal/ggdag" TargetMode="External" /><Relationship Type="http://schemas.openxmlformats.org/officeDocument/2006/relationships/hyperlink" Id="rId124"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2024-01-04T16:41:56Z</dcterms:created>
  <dcterms:modified xsi:type="dcterms:W3CDTF">2024-01-04T16:41:56Z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