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61.png" ContentType="image/png"/>
  <Override PartName="/word/media/rId116.png" ContentType="image/png"/>
  <Override PartName="/word/media/rId120.png" ContentType="image/png"/>
  <Override PartName="/word/media/rId124.png" ContentType="image/png"/>
  <Override PartName="/word/media/rId167.png" ContentType="image/png"/>
  <Override PartName="/word/media/rId171.png" ContentType="image/png"/>
  <Override PartName="/word/media/rId17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There is furthermore evidence that exposure to certain EDCs, specifically phthalates, might interfere with the hypothalamic-pituitary-adrenocortical (HPA) axis and might interact with the glucocorticoid receptor</w:t>
      </w:r>
      <w:hyperlink w:anchor="ref-KimLeeMoon:2018">
        <w:r>
          <w:rPr>
            <w:rStyle w:val="InternetLink"/>
            <w:vertAlign w:val="superscript"/>
          </w:rPr>
          <w:t xml:space="preserve">4</w:t>
        </w:r>
      </w:hyperlink>
      <w:r>
        <w:rPr>
          <w:vertAlign w:val="superscript"/>
        </w:rPr>
        <w:t xml:space="preserve">–</w:t>
      </w:r>
      <w:hyperlink w:anchor="ref-SearsLiuLanphear:2023">
        <w:r>
          <w:rPr>
            <w:rStyle w:val="InternetLink"/>
            <w:vertAlign w:val="superscript"/>
          </w:rPr>
          <w:t xml:space="preserve">6</w:t>
        </w:r>
      </w:hyperlink>
      <w:r>
        <w:t xml:space="preserve">.</w:t>
      </w:r>
    </w:p>
    <w:p>
      <w:pPr>
        <w:pStyle w:val="TextBody"/>
      </w:pPr>
      <w:r>
        <w:t xml:space="preserve">Finally, the development of the fetal brain is regulated by, among others, glucocorticoids</w:t>
      </w:r>
      <w:hyperlink w:anchor="ref-SunLiJin:2018">
        <w:r>
          <w:rPr>
            <w:rStyle w:val="InternetLink"/>
            <w:vertAlign w:val="superscript"/>
          </w:rPr>
          <w:t xml:space="preserve">5</w:t>
        </w:r>
      </w:hyperlink>
      <w:r>
        <w:t xml:space="preserve">, with regulation of their homeostasis being crucial for neurodevelopment in childhood</w:t>
      </w:r>
      <w:hyperlink w:anchor="ref-SearsLiuLanphear:2023">
        <w:r>
          <w:rPr>
            <w:rStyle w:val="InternetLink"/>
            <w:vertAlign w:val="superscript"/>
          </w:rPr>
          <w:t xml:space="preserve">6</w:t>
        </w:r>
      </w:hyperlink>
      <w:r>
        <w:t xml:space="preserve">.</w:t>
      </w:r>
    </w:p>
    <w:p>
      <w:pPr>
        <w:pStyle w:val="TextBody"/>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7</w:t>
        </w:r>
      </w:hyperlink>
      <w:r>
        <w:t xml:space="preserve">. It consists of six existing population-based birth cohort studies across Europe: BiB (Born in Bradford, UK)</w:t>
      </w:r>
      <w:hyperlink w:anchor="ref-WrightSmallRaynor:2013">
        <w:r>
          <w:rPr>
            <w:rStyle w:val="InternetLink"/>
            <w:vertAlign w:val="superscript"/>
          </w:rPr>
          <w:t xml:space="preserve">8</w:t>
        </w:r>
      </w:hyperlink>
      <w:r>
        <w:t xml:space="preserve">, EDEN (Study of determinants of pre- and postnatal developmental, France)</w:t>
      </w:r>
      <w:hyperlink w:anchor="ref-HeudeForhanSlama:2016">
        <w:r>
          <w:rPr>
            <w:rStyle w:val="InternetLink"/>
            <w:vertAlign w:val="superscript"/>
          </w:rPr>
          <w:t xml:space="preserve">9</w:t>
        </w:r>
      </w:hyperlink>
      <w:r>
        <w:t xml:space="preserve">, INMA (Environment and Childhood, Spain)</w:t>
      </w:r>
      <w:hyperlink w:anchor="ref-GuxensBallesterEspada:2012">
        <w:r>
          <w:rPr>
            <w:rStyle w:val="InternetLink"/>
            <w:vertAlign w:val="superscript"/>
          </w:rPr>
          <w:t xml:space="preserve">10</w:t>
        </w:r>
      </w:hyperlink>
      <w:r>
        <w:t xml:space="preserve">, KANC (Kaunas Cohort, Lithuania)</w:t>
      </w:r>
      <w:hyperlink w:anchor="Xd30c40380c9e99bac70b7fa3b0ada5ae8dec3e4">
        <w:r>
          <w:rPr>
            <w:rStyle w:val="InternetLink"/>
            <w:vertAlign w:val="superscript"/>
          </w:rPr>
          <w:t xml:space="preserve">11</w:t>
        </w:r>
      </w:hyperlink>
      <w:r>
        <w:t xml:space="preserve">, MoBa (The Norwegian Mother and Child Cohort Study, Norway)</w:t>
      </w:r>
      <w:hyperlink w:anchor="ref-MagnusIrgensHaug:2006">
        <w:r>
          <w:rPr>
            <w:rStyle w:val="InternetLink"/>
            <w:vertAlign w:val="superscript"/>
          </w:rPr>
          <w:t xml:space="preserve">12</w:t>
        </w:r>
      </w:hyperlink>
      <w:r>
        <w:t xml:space="preserve">, and Rhea (Mother–Child Cohort in Crete, Greece)</w:t>
      </w:r>
      <w:hyperlink w:anchor="ref-ChatziPlanaDaraki:2009">
        <w:r>
          <w:rPr>
            <w:rStyle w:val="InternetLink"/>
            <w:vertAlign w:val="superscript"/>
          </w:rPr>
          <w:t xml:space="preserve">13</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14</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15</w:t>
        </w:r>
      </w:hyperlink>
      <w:r>
        <w:t xml:space="preserve"> </w:t>
      </w:r>
      <w:r>
        <w:t xml:space="preserve">and ggdag</w:t>
      </w:r>
      <w:hyperlink w:anchor="ref-Barrett:2023">
        <w:r>
          <w:rPr>
            <w:rStyle w:val="InternetLink"/>
            <w:vertAlign w:val="superscript"/>
          </w:rPr>
          <w:t xml:space="preserve">16</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17</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18</w:t>
        </w:r>
      </w:hyperlink>
      <w:r>
        <w:rPr>
          <w:vertAlign w:val="superscript"/>
        </w:rPr>
        <w:t xml:space="preserve">,</w:t>
      </w:r>
      <w:hyperlink w:anchor="ref-Gomez-GomezPozo:2020">
        <w:r>
          <w:rPr>
            <w:rStyle w:val="InternetLink"/>
            <w:vertAlign w:val="superscript"/>
          </w:rPr>
          <w:t xml:space="preserve">19</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20</w:t>
        </w:r>
      </w:hyperlink>
      <w:r>
        <w:t xml:space="preserve">. Further information can be found in</w:t>
      </w:r>
      <w:hyperlink w:anchor="ref-MaitreBontCasas:2018">
        <w:r>
          <w:rPr>
            <w:rStyle w:val="InternetLink"/>
            <w:vertAlign w:val="superscript"/>
          </w:rPr>
          <w:t xml:space="preserve">14</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21</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22</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23</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24</w:t>
        </w:r>
      </w:hyperlink>
      <w:r>
        <w:t xml:space="preserve">. Information about the lower limits of detection can be found in</w:t>
      </w:r>
      <w:hyperlink w:anchor="ref-HaugSakhiCequier:2018">
        <w:r>
          <w:rPr>
            <w:rStyle w:val="InternetLink"/>
            <w:vertAlign w:val="superscript"/>
          </w:rPr>
          <w:t xml:space="preserve">17</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25</w:t>
        </w:r>
      </w:hyperlink>
      <w:r>
        <w:t xml:space="preserve">. This methods estimates weights by minimizing an energy statistic related to covariate balance</w:t>
      </w:r>
      <w:hyperlink w:anchor="ref-HulingGreiferChen:2023">
        <w:r>
          <w:rPr>
            <w:rStyle w:val="InternetLink"/>
            <w:vertAlign w:val="superscript"/>
          </w:rPr>
          <w:t xml:space="preserve">26</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27</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28</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29</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30</w:t>
        </w:r>
      </w:hyperlink>
      <w:r>
        <w:rPr>
          <w:vertAlign w:val="superscript"/>
        </w:rPr>
        <w:t xml:space="preserve">,</w:t>
      </w:r>
      <w:hyperlink w:anchor="ref-ZeileisKollGraham:2020">
        <w:r>
          <w:rPr>
            <w:rStyle w:val="InternetLink"/>
            <w:vertAlign w:val="superscript"/>
          </w:rPr>
          <w:t xml:space="preserve">31</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effects of the non-persistent EDCs on HRT-SE. Overall, a cohort-specific increase in the levels of the exposures from the 10th to the 90th percentiles was associated with a positive marginal contrast, indicating an increase in the values of HRT-SE. Most of the confidence interval (CI)s included the null effect, though. Statistically significant associations were observed for the phenol MEPA (marginal contrast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effects of the non-persistent EDCs on cortisone production, cortisol production, and corticosterone production. Overall, a cohort-specific increase in the levels of the exposures from the 10th to the 90th percentiles was associated with a positive marginal contrast, indicating an increase in the total production of these metabolites, with the exception of BUPA, which was associated with negative marginal contrasts for all three outcomes, and MiBP, which was associated with a negative marginal contrast for total cortisone production only.</w:t>
      </w:r>
      <w:r>
        <w:t xml:space="preserve"> </w:t>
      </w:r>
      <w:r>
        <w:t xml:space="preserve">The majority of the associations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TextBody"/>
      </w:pPr>
      <w:hyperlink w:anchor="fig-marginal-3">
        <w:r>
          <w:rPr>
            <w:rStyle w:val="InternetLink"/>
          </w:rPr>
          <w:t xml:space="preserve">Figure 3</w:t>
        </w:r>
      </w:hyperlink>
      <w:r>
        <w:t xml:space="preserve"> </w:t>
      </w:r>
      <w:r>
        <w:t xml:space="preserve">presents the forest plot for the marginal effects of the corticosteroids on HRT-SE. All marginal contrasts included the null, with no clear indication of directionality of the effect.</w:t>
      </w:r>
    </w:p>
    <w:bookmarkEnd w:id="35"/>
    <w:bookmarkStart w:id="38" w:name="sec-res-other"/>
    <w:p>
      <w:pPr>
        <w:pStyle w:val="Heading2"/>
      </w:pPr>
      <w:r>
        <w:t xml:space="preserve">Other analyses</w:t>
      </w:r>
    </w:p>
    <w:bookmarkStart w:id="36" w:name="effect-modification-by-sex"/>
    <w:p>
      <w:pPr>
        <w:pStyle w:val="Heading3"/>
      </w:pPr>
      <w:r>
        <w:t xml:space="preserve">Effect modification by sex</w:t>
      </w:r>
    </w:p>
    <w:p>
      <w:pPr>
        <w:pStyle w:val="FirstParagraph"/>
      </w:pPr>
      <w:r>
        <w:t xml:space="preserve">Basic summary statistics of the estimated balancing weights for effect modification are presented in Tables</w:t>
      </w:r>
      <w:r>
        <w:t xml:space="preserve"> </w:t>
      </w:r>
      <w:hyperlink w:anchor="supptbl-weights-1sa">
        <w:r>
          <w:rPr>
            <w:rStyle w:val="InternetLink"/>
          </w:rPr>
          <w:t xml:space="preserve">13</w:t>
        </w:r>
      </w:hyperlink>
      <w:r>
        <w:t xml:space="preserve">, </w:t>
      </w:r>
      <w:hyperlink w:anchor="supptbl-weights-2sa">
        <w:r>
          <w:rPr>
            <w:rStyle w:val="InternetLink"/>
          </w:rPr>
          <w:t xml:space="preserve">14</w:t>
        </w:r>
      </w:hyperlink>
      <w:r>
        <w:t xml:space="preserve">, </w:t>
      </w:r>
      <w:hyperlink w:anchor="supptbl-weights-3sa">
        <w:r>
          <w:rPr>
            <w:rStyle w:val="InternetLink"/>
          </w:rPr>
          <w:t xml:space="preserve">15</w:t>
        </w:r>
      </w:hyperlink>
      <w:r>
        <w:t xml:space="preserve">. As expected, the median value of the weights for each exposure was close to</w:t>
      </w:r>
      <w:r>
        <w:t xml:space="preserve"> </w:t>
      </w:r>
      <m:oMath>
        <m:r>
          <m:t>1.00</m:t>
        </m:r>
      </m:oMath>
      <w:r>
        <w:t xml:space="preserve">.</w:t>
      </w:r>
    </w:p>
    <w:p>
      <w:pPr>
        <w:pStyle w:val="TextBody"/>
      </w:pPr>
      <w:hyperlink w:anchor="tbl-hypothesis-1">
        <w:r>
          <w:rPr>
            <w:rStyle w:val="InternetLink"/>
          </w:rPr>
          <w:t xml:space="preserve">Table 4</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InternetLink"/>
          </w:rPr>
          <w:t xml:space="preserve">Figure S3</w:t>
        </w:r>
      </w:hyperlink>
      <w:r>
        <w:t xml:space="preserve">.</w:t>
      </w:r>
    </w:p>
    <w:p>
      <w:pPr>
        <w:pStyle w:val="TextBody"/>
      </w:pPr>
      <w:hyperlink w:anchor="tbl-hypothesis-2">
        <w:r>
          <w:rPr>
            <w:rStyle w:val="InternetLink"/>
          </w:rPr>
          <w:t xml:space="preserve">Table 5</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InternetLink"/>
          </w:rPr>
          <w:t xml:space="preserve">Figure S4</w:t>
        </w:r>
      </w:hyperlink>
      <w:r>
        <w:t xml:space="preserve">.</w:t>
      </w:r>
    </w:p>
    <w:p>
      <w:pPr>
        <w:pStyle w:val="TextBody"/>
      </w:pPr>
      <w:hyperlink w:anchor="tbl-hypothesis-3">
        <w:r>
          <w:rPr>
            <w:rStyle w:val="InternetLink"/>
          </w:rPr>
          <w:t xml:space="preserve">Table 6</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InternetLink"/>
          </w:rPr>
          <w:t xml:space="preserve">Figure S5</w:t>
        </w:r>
      </w:hyperlink>
      <w:r>
        <w:t xml:space="preserve">.</w:t>
      </w:r>
    </w:p>
    <w:bookmarkEnd w:id="36"/>
    <w:bookmarkStart w:id="37" w:name="sensitivity-to-exposure-assessment"/>
    <w:p>
      <w:pPr>
        <w:pStyle w:val="Heading3"/>
      </w:pPr>
      <w:r>
        <w:t xml:space="preserve">Sensitivity to exposure assessment</w:t>
      </w:r>
    </w:p>
    <w:bookmarkEnd w:id="37"/>
    <w:bookmarkEnd w:id="38"/>
    <w:bookmarkEnd w:id="39"/>
    <w:bookmarkStart w:id="40" w:name="sec-discussion"/>
    <w:p>
      <w:pPr>
        <w:pStyle w:val="Heading1"/>
      </w:pPr>
      <w:r>
        <w:t xml:space="preserve">Discussion</w:t>
      </w:r>
    </w:p>
    <w:p>
      <w:pPr>
        <w:pStyle w:val="FirstParagraph"/>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32</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average comparisons.</w:t>
      </w:r>
    </w:p>
    <w:p>
      <w:pPr>
        <w:pStyle w:val="TextBody"/>
      </w:pPr>
      <w:r>
        <w:t xml:space="preserve">In conclusion, in a study of…</w:t>
      </w:r>
    </w:p>
    <w:p>
      <w:r>
        <w:br w:type="page"/>
      </w:r>
    </w:p>
    <w:bookmarkEnd w:id="40"/>
    <w:bookmarkStart w:id="103" w:name="references"/>
    <w:p>
      <w:pPr>
        <w:pStyle w:val="Heading1"/>
      </w:pPr>
      <w:r>
        <w:t xml:space="preserve">References</w:t>
      </w:r>
    </w:p>
    <w:bookmarkStart w:id="102" w:name="refs"/>
    <w:bookmarkStart w:id="42"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1">
        <w:r>
          <w:rPr>
            <w:rStyle w:val="InternetLink"/>
          </w:rPr>
          <w:t xml:space="preserve">10.1016/S1474-4422(13)70278-3</w:t>
        </w:r>
      </w:hyperlink>
    </w:p>
    <w:bookmarkEnd w:id="42"/>
    <w:bookmarkStart w:id="44"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3">
        <w:r>
          <w:rPr>
            <w:rStyle w:val="InternetLink"/>
          </w:rPr>
          <w:t xml:space="preserve">10.1016/j.envres.2021.111890</w:t>
        </w:r>
      </w:hyperlink>
    </w:p>
    <w:bookmarkEnd w:id="44"/>
    <w:bookmarkStart w:id="46"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45">
        <w:r>
          <w:rPr>
            <w:rStyle w:val="InternetLink"/>
          </w:rPr>
          <w:t xml:space="preserve">10.1038/nrendo.2016.186</w:t>
        </w:r>
      </w:hyperlink>
    </w:p>
    <w:bookmarkEnd w:id="46"/>
    <w:bookmarkStart w:id="48" w:name="ref-KimLeeMoon:2018"/>
    <w:p>
      <w:pPr>
        <w:pStyle w:val="Bibliography"/>
      </w:pPr>
      <w:r>
        <w:t xml:space="preserve">4.</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2018;627:506-513. doi:</w:t>
      </w:r>
      <w:hyperlink r:id="rId47">
        <w:r>
          <w:rPr>
            <w:rStyle w:val="InternetLink"/>
          </w:rPr>
          <w:t xml:space="preserve">10.1016/j.scitotenv.2018.01.125</w:t>
        </w:r>
      </w:hyperlink>
    </w:p>
    <w:bookmarkEnd w:id="48"/>
    <w:bookmarkStart w:id="50" w:name="ref-SunLiJin:2018"/>
    <w:p>
      <w:pPr>
        <w:pStyle w:val="Bibliography"/>
      </w:pPr>
      <w:r>
        <w:t xml:space="preserve">5.</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2018;121:471-479. doi:</w:t>
      </w:r>
      <w:hyperlink r:id="rId49">
        <w:r>
          <w:rPr>
            <w:rStyle w:val="InternetLink"/>
          </w:rPr>
          <w:t xml:space="preserve">10.1016/j.envint.2018.09.037</w:t>
        </w:r>
      </w:hyperlink>
    </w:p>
    <w:bookmarkEnd w:id="50"/>
    <w:bookmarkStart w:id="52" w:name="ref-SearsLiuLanphear:2023"/>
    <w:p>
      <w:pPr>
        <w:pStyle w:val="Bibliography"/>
      </w:pPr>
      <w:r>
        <w:t xml:space="preserve">6.</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Published online October 16, 2023:kwad198. doi:</w:t>
      </w:r>
      <w:hyperlink r:id="rId51">
        <w:r>
          <w:rPr>
            <w:rStyle w:val="InternetLink"/>
          </w:rPr>
          <w:t xml:space="preserve">10.1093/aje/kwad198</w:t>
        </w:r>
      </w:hyperlink>
    </w:p>
    <w:bookmarkEnd w:id="52"/>
    <w:bookmarkStart w:id="54" w:name="ref-VrijheidSlamaRobinson:2014"/>
    <w:p>
      <w:pPr>
        <w:pStyle w:val="Bibliography"/>
      </w:pPr>
      <w:r>
        <w:t xml:space="preserve">7.</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3">
        <w:r>
          <w:rPr>
            <w:rStyle w:val="InternetLink"/>
          </w:rPr>
          <w:t xml:space="preserve">10.1289/ehp.1307204</w:t>
        </w:r>
      </w:hyperlink>
    </w:p>
    <w:bookmarkEnd w:id="54"/>
    <w:bookmarkStart w:id="56" w:name="ref-WrightSmallRaynor:2013"/>
    <w:p>
      <w:pPr>
        <w:pStyle w:val="Bibliography"/>
      </w:pPr>
      <w:r>
        <w:t xml:space="preserve">8.</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5">
        <w:r>
          <w:rPr>
            <w:rStyle w:val="InternetLink"/>
          </w:rPr>
          <w:t xml:space="preserve">10.1093/ije/dys112</w:t>
        </w:r>
      </w:hyperlink>
    </w:p>
    <w:bookmarkEnd w:id="56"/>
    <w:bookmarkStart w:id="58" w:name="ref-HeudeForhanSlama:2016"/>
    <w:p>
      <w:pPr>
        <w:pStyle w:val="Bibliography"/>
      </w:pPr>
      <w:r>
        <w:t xml:space="preserve">9.</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7">
        <w:r>
          <w:rPr>
            <w:rStyle w:val="InternetLink"/>
          </w:rPr>
          <w:t xml:space="preserve">10.1093/ije/dyv151</w:t>
        </w:r>
      </w:hyperlink>
    </w:p>
    <w:bookmarkEnd w:id="58"/>
    <w:bookmarkStart w:id="60" w:name="ref-GuxensBallesterEspada:2012"/>
    <w:p>
      <w:pPr>
        <w:pStyle w:val="Bibliography"/>
      </w:pPr>
      <w:r>
        <w:t xml:space="preserve">10.</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9">
        <w:r>
          <w:rPr>
            <w:rStyle w:val="InternetLink"/>
          </w:rPr>
          <w:t xml:space="preserve">10.1093/ije/dyr054</w:t>
        </w:r>
      </w:hyperlink>
    </w:p>
    <w:bookmarkEnd w:id="60"/>
    <w:bookmarkStart w:id="62" w:name="Xd30c40380c9e99bac70b7fa3b0ada5ae8dec3e4"/>
    <w:p>
      <w:pPr>
        <w:pStyle w:val="Bibliography"/>
      </w:pPr>
      <w:r>
        <w:t xml:space="preserve">11.</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61">
        <w:r>
          <w:rPr>
            <w:rStyle w:val="InternetLink"/>
          </w:rPr>
          <w:t xml:space="preserve">10.3390/ijerph6031282</w:t>
        </w:r>
      </w:hyperlink>
    </w:p>
    <w:bookmarkEnd w:id="62"/>
    <w:bookmarkStart w:id="64" w:name="ref-MagnusIrgensHaug:2006"/>
    <w:p>
      <w:pPr>
        <w:pStyle w:val="Bibliography"/>
      </w:pPr>
      <w:r>
        <w:t xml:space="preserve">12.</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3">
        <w:r>
          <w:rPr>
            <w:rStyle w:val="InternetLink"/>
          </w:rPr>
          <w:t xml:space="preserve">10.1093/ije/dyl170</w:t>
        </w:r>
      </w:hyperlink>
    </w:p>
    <w:bookmarkEnd w:id="64"/>
    <w:bookmarkStart w:id="66" w:name="ref-ChatziPlanaDaraki:2009"/>
    <w:p>
      <w:pPr>
        <w:pStyle w:val="Bibliography"/>
      </w:pPr>
      <w:r>
        <w:t xml:space="preserve">13.</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5">
        <w:r>
          <w:rPr>
            <w:rStyle w:val="InternetLink"/>
          </w:rPr>
          <w:t xml:space="preserve">10.1093/aje/kwp211</w:t>
        </w:r>
      </w:hyperlink>
    </w:p>
    <w:bookmarkEnd w:id="66"/>
    <w:bookmarkStart w:id="68" w:name="ref-MaitreBontCasas:2018"/>
    <w:p>
      <w:pPr>
        <w:pStyle w:val="Bibliography"/>
      </w:pPr>
      <w:r>
        <w:t xml:space="preserve">14.</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7">
        <w:r>
          <w:rPr>
            <w:rStyle w:val="InternetLink"/>
          </w:rPr>
          <w:t xml:space="preserve">10.1136/bmjopen-2017-021311</w:t>
        </w:r>
      </w:hyperlink>
    </w:p>
    <w:bookmarkEnd w:id="68"/>
    <w:bookmarkStart w:id="70" w:name="ref-TextorvanderZanderGilthorpe:2016"/>
    <w:p>
      <w:pPr>
        <w:pStyle w:val="Bibliography"/>
      </w:pPr>
      <w:r>
        <w:t xml:space="preserve">15.</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9">
        <w:r>
          <w:rPr>
            <w:rStyle w:val="InternetLink"/>
          </w:rPr>
          <w:t xml:space="preserve">10.1093/ije/dyw341</w:t>
        </w:r>
      </w:hyperlink>
    </w:p>
    <w:bookmarkEnd w:id="70"/>
    <w:bookmarkStart w:id="72" w:name="ref-Barrett:2023"/>
    <w:p>
      <w:pPr>
        <w:pStyle w:val="Bibliography"/>
      </w:pPr>
      <w:r>
        <w:t xml:space="preserve">16.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71">
        <w:r>
          <w:rPr>
            <w:rStyle w:val="InternetLink"/>
          </w:rPr>
          <w:t xml:space="preserve">https://github.com/r-causal/ggdag</w:t>
        </w:r>
      </w:hyperlink>
    </w:p>
    <w:bookmarkEnd w:id="72"/>
    <w:bookmarkStart w:id="74" w:name="ref-HaugSakhiCequier:2018"/>
    <w:p>
      <w:pPr>
        <w:pStyle w:val="Bibliography"/>
      </w:pPr>
      <w:r>
        <w:t xml:space="preserve">17.</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3">
        <w:r>
          <w:rPr>
            <w:rStyle w:val="InternetLink"/>
          </w:rPr>
          <w:t xml:space="preserve">10.1016/j.envint.2018.09.056</w:t>
        </w:r>
      </w:hyperlink>
    </w:p>
    <w:bookmarkEnd w:id="74"/>
    <w:bookmarkStart w:id="76" w:name="ref-MarcosRenauCasals:2014"/>
    <w:p>
      <w:pPr>
        <w:pStyle w:val="Bibliography"/>
      </w:pPr>
      <w:r>
        <w:t xml:space="preserve">18.</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5">
        <w:r>
          <w:rPr>
            <w:rStyle w:val="InternetLink"/>
          </w:rPr>
          <w:t xml:space="preserve">10.1016/j.aca.2013.12.030</w:t>
        </w:r>
      </w:hyperlink>
    </w:p>
    <w:bookmarkEnd w:id="76"/>
    <w:bookmarkStart w:id="78" w:name="ref-Gomez-GomezPozo:2020"/>
    <w:p>
      <w:pPr>
        <w:pStyle w:val="Bibliography"/>
      </w:pPr>
      <w:r>
        <w:t xml:space="preserve">19.</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7">
        <w:r>
          <w:rPr>
            <w:rStyle w:val="InternetLink"/>
          </w:rPr>
          <w:t xml:space="preserve">10.1016/j.chroma.2020.461179</w:t>
        </w:r>
      </w:hyperlink>
    </w:p>
    <w:bookmarkEnd w:id="78"/>
    <w:bookmarkStart w:id="80" w:name="ref-RuedaFanMcCandliss:2004"/>
    <w:p>
      <w:pPr>
        <w:pStyle w:val="Bibliography"/>
      </w:pPr>
      <w:r>
        <w:t xml:space="preserve">20.</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9">
        <w:r>
          <w:rPr>
            <w:rStyle w:val="InternetLink"/>
          </w:rPr>
          <w:t xml:space="preserve">10.1016/j.neuropsychologia.2003.12.012</w:t>
        </w:r>
      </w:hyperlink>
    </w:p>
    <w:bookmarkEnd w:id="80"/>
    <w:bookmarkStart w:id="82" w:name="ref-SunyerEsnaolaAlvarez-Pedrerol:2015"/>
    <w:p>
      <w:pPr>
        <w:pStyle w:val="Bibliography"/>
      </w:pPr>
      <w:r>
        <w:t xml:space="preserve">21.</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81">
        <w:r>
          <w:rPr>
            <w:rStyle w:val="InternetLink"/>
          </w:rPr>
          <w:t xml:space="preserve">10.1371/journal.pmed.1001792</w:t>
        </w:r>
      </w:hyperlink>
    </w:p>
    <w:bookmarkEnd w:id="82"/>
    <w:bookmarkStart w:id="84" w:name="ref-KowarikTempl:2016"/>
    <w:p>
      <w:pPr>
        <w:pStyle w:val="Bibliography"/>
      </w:pPr>
      <w:r>
        <w:t xml:space="preserve">22.</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3">
        <w:r>
          <w:rPr>
            <w:rStyle w:val="InternetLink"/>
          </w:rPr>
          <w:t xml:space="preserve">10.18637/jss.v074.i07</w:t>
        </w:r>
      </w:hyperlink>
    </w:p>
    <w:bookmarkEnd w:id="84"/>
    <w:bookmarkStart w:id="86" w:name="ref-LudeckeBen-ShacharPatil:2021"/>
    <w:p>
      <w:pPr>
        <w:pStyle w:val="Bibliography"/>
      </w:pPr>
      <w:r>
        <w:t xml:space="preserve">23.</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5">
        <w:r>
          <w:rPr>
            <w:rStyle w:val="InternetLink"/>
          </w:rPr>
          <w:t xml:space="preserve">10.21105/joss.03139</w:t>
        </w:r>
      </w:hyperlink>
    </w:p>
    <w:bookmarkEnd w:id="86"/>
    <w:bookmarkStart w:id="87" w:name="ref-lazar2015imputelcmd"/>
    <w:p>
      <w:pPr>
        <w:pStyle w:val="Bibliography"/>
      </w:pPr>
      <w:r>
        <w:t xml:space="preserve">24.</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7"/>
    <w:bookmarkStart w:id="88" w:name="ref-Greifer:2023"/>
    <w:p>
      <w:pPr>
        <w:pStyle w:val="Bibliography"/>
      </w:pPr>
      <w:r>
        <w:t xml:space="preserve">25.</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8"/>
    <w:bookmarkStart w:id="90" w:name="ref-HulingGreiferChen:2023"/>
    <w:p>
      <w:pPr>
        <w:pStyle w:val="Bibliography"/>
      </w:pPr>
      <w:r>
        <w:t xml:space="preserve">26.</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9">
        <w:r>
          <w:rPr>
            <w:rStyle w:val="InternetLink"/>
          </w:rPr>
          <w:t xml:space="preserve">10.1080/01621459.2023.2213485</w:t>
        </w:r>
      </w:hyperlink>
    </w:p>
    <w:bookmarkEnd w:id="90"/>
    <w:bookmarkStart w:id="91" w:name="ref-Greifer:2023a"/>
    <w:p>
      <w:pPr>
        <w:pStyle w:val="Bibliography"/>
      </w:pPr>
      <w:r>
        <w:t xml:space="preserve">27.</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91"/>
    <w:bookmarkStart w:id="93" w:name="ref-BartlettPartnoy:2020"/>
    <w:p>
      <w:pPr>
        <w:pStyle w:val="Bibliography"/>
      </w:pPr>
      <w:r>
        <w:t xml:space="preserve">28.</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92">
        <w:r>
          <w:rPr>
            <w:rStyle w:val="InternetLink"/>
          </w:rPr>
          <w:t xml:space="preserve">10.2139/ssrn.3605606</w:t>
        </w:r>
      </w:hyperlink>
    </w:p>
    <w:bookmarkEnd w:id="93"/>
    <w:bookmarkStart w:id="95" w:name="ref-Arel-Bundock:2023"/>
    <w:p>
      <w:pPr>
        <w:pStyle w:val="Bibliography"/>
      </w:pPr>
      <w:r>
        <w:t xml:space="preserve">29.</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4">
        <w:r>
          <w:rPr>
            <w:rStyle w:val="InternetLink"/>
          </w:rPr>
          <w:t xml:space="preserve">https://marginaleffects.com/</w:t>
        </w:r>
      </w:hyperlink>
    </w:p>
    <w:bookmarkEnd w:id="95"/>
    <w:bookmarkStart w:id="97" w:name="ref-Zeileis:2004"/>
    <w:p>
      <w:pPr>
        <w:pStyle w:val="Bibliography"/>
      </w:pPr>
      <w:r>
        <w:t xml:space="preserve">30.</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6">
        <w:r>
          <w:rPr>
            <w:rStyle w:val="InternetLink"/>
          </w:rPr>
          <w:t xml:space="preserve">10.18637/jss.v011.i10</w:t>
        </w:r>
      </w:hyperlink>
    </w:p>
    <w:bookmarkEnd w:id="97"/>
    <w:bookmarkStart w:id="99" w:name="ref-ZeileisKollGraham:2020"/>
    <w:p>
      <w:pPr>
        <w:pStyle w:val="Bibliography"/>
      </w:pPr>
      <w:r>
        <w:t xml:space="preserve">31.</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8">
        <w:r>
          <w:rPr>
            <w:rStyle w:val="InternetLink"/>
          </w:rPr>
          <w:t xml:space="preserve">10.18637/jss.v095.i01</w:t>
        </w:r>
      </w:hyperlink>
    </w:p>
    <w:bookmarkEnd w:id="99"/>
    <w:bookmarkStart w:id="101" w:name="ref-CasasBasaganaSakhi:2018"/>
    <w:p>
      <w:pPr>
        <w:pStyle w:val="Bibliography"/>
      </w:pPr>
      <w:r>
        <w:t xml:space="preserve">32.</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100">
        <w:r>
          <w:rPr>
            <w:rStyle w:val="InternetLink"/>
          </w:rPr>
          <w:t xml:space="preserve">10.1016/j.envint.2018.09.046</w:t>
        </w:r>
      </w:hyperlink>
    </w:p>
    <w:bookmarkEnd w:id="101"/>
    <w:bookmarkEnd w:id="102"/>
    <w:p>
      <w:r>
        <w:br w:type="page"/>
      </w:r>
    </w:p>
    <w:p>
      <w:pPr>
        <w:pStyle w:val="TextBody"/>
      </w:pPr>
      <w:r>
        <w:rPr>
          <w:bCs/>
          <w:b/>
        </w:rPr>
        <w:t xml:space="preserve">Table titles should give details on the place of the study, the time of the study, and the study population (if applicable). Example,</w:t>
      </w:r>
      <w:r>
        <w:rPr>
          <w:bCs/>
          <w:b/>
        </w:rPr>
        <w:t xml:space="preserve"> </w:t>
      </w:r>
      <w:r>
        <w:rPr>
          <w:bCs/>
          <w:b/>
        </w:rPr>
        <w:t xml:space="preserve">“</w:t>
      </w:r>
      <w:r>
        <w:rPr>
          <w:bCs/>
          <w:b/>
        </w:rPr>
        <w:t xml:space="preserve">Baseline Characteristics of Infants With Initial and Follow-up Screening, London, United Kingdom, 2001–2003.</w:t>
      </w:r>
      <w:r>
        <w:rPr>
          <w:bCs/>
          <w:b/>
        </w:rPr>
        <w:t xml:space="preserve">”</w:t>
      </w:r>
      <w:r>
        <w:rPr>
          <w:bCs/>
          <w:b/>
        </w:rPr>
        <w:t xml:space="preserve"> </w:t>
      </w:r>
      <w:r>
        <w:rPr>
          <w:bCs/>
          <w:b/>
        </w:rPr>
        <w:t xml:space="preserve">In the table body, leave blank spaces for no entry; avoid using dashes. Order of footnotes: 1) Abbreviations: (no footnote symbol, listed alphabetically, separated by semicolons); 2) other footnotes as necessary, each preceded by a superscript lowercase letter. Footnotes must be cited in order when reading from left to right and top to bottom.</w:t>
      </w:r>
    </w:p>
    <w:bookmarkEnd w:id="103"/>
    <w:bookmarkStart w:id="110" w:name="tables-for-descriptive-data"/>
    <w:p>
      <w:pPr>
        <w:pStyle w:val="Heading1"/>
      </w:pPr>
      <w:r>
        <w:t xml:space="preserve">Tables for descriptive data</w:t>
      </w:r>
    </w:p>
    <w:bookmarkStart w:id="105"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04" w:name="tbl-pop-desc"/>
          <w:p>
            <w:pPr>
              <w:jc w:val="center"/>
            </w:pPr>
            <w:pPr>
              <w:jc w:val="start"/>
              <w:spacing w:before="200"/>
              <w:pStyle w:val="ImageCaption"/>
            </w:pPr>
            <w:r>
              <w:t xml:space="preserve">Table 1: Characteristics of the children included in the analyses,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104"/>
        </w:tc>
      </w:tr>
    </w:tbl>
    <w:bookmarkEnd w:id="105"/>
    <w:bookmarkStart w:id="107"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06" w:name="tbl-edc-desc"/>
          <w:p>
            <w:pPr>
              <w:jc w:val="center"/>
            </w:pPr>
            <w:pPr>
              <w:jc w:val="start"/>
              <w:spacing w:before="200"/>
              <w:pStyle w:val="ImageCaption"/>
            </w:pPr>
            <w:r>
              <w:t xml:space="preserve">Table 2: Levels of unprocessed chemicals,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6"/>
        </w:tc>
      </w:tr>
    </w:tbl>
    <w:bookmarkEnd w:id="107"/>
    <w:bookmarkStart w:id="109"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8" w:name="tbl-met-desc"/>
          <w:p>
            <w:pPr>
              <w:jc w:val="center"/>
            </w:pPr>
            <w:pPr>
              <w:jc w:val="start"/>
              <w:spacing w:before="200"/>
              <w:pStyle w:val="ImageCaption"/>
            </w:pPr>
            <w:r>
              <w:t xml:space="preserve">Table 3: Levels of unprocessed corticosteroids,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8"/>
        </w:tc>
      </w:tr>
    </w:tbl>
    <w:bookmarkEnd w:id="109"/>
    <w:bookmarkEnd w:id="110"/>
    <w:bookmarkStart w:id="115" w:name="tables-for-other-analyses"/>
    <w:p>
      <w:pPr>
        <w:pStyle w:val="Heading1"/>
      </w:pPr>
      <w:r>
        <w:t xml:space="preserve">Tables for other analyses</w:t>
      </w:r>
    </w:p>
    <w:bookmarkStart w:id="114"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11" w:name="tbl-hypothesis-1"/>
          <w:p>
            <w:pPr>
              <w:jc w:val="center"/>
            </w:pPr>
            <w:pPr>
              <w:jc w:val="start"/>
              <w:spacing w:before="200"/>
              <w:pStyle w:val="ImageCaption"/>
            </w:pPr>
            <w:r>
              <w:t xml:space="preserve">Table 4: Hypothesis testing results of effect modification by sex for</w:t>
            </w:r>
            <w:r>
              <w:t xml:space="preserve"> </w:t>
            </w:r>
            <m:oMath>
              <m:r>
                <m:t>h</m:t>
              </m:r>
              <m:r>
                <m:t>i</m:t>
              </m:r>
              <m:r>
                <m:t>t</m:t>
              </m:r>
              <m:r>
                <m:t>r</m:t>
              </m:r>
              <m:r>
                <m:t>t</m:t>
              </m:r>
              <m:r>
                <m:t>s</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1"/>
        </w:tc>
      </w:tr>
    </w:tbl>
    <w:tbl>
      <w:tblPr>
        <w:tblStyle w:val="Table"/>
        <w:tblW w:type="pct" w:w="5000"/>
        <w:tblLook w:firstRow="0" w:lastRow="0" w:firstColumn="0" w:lastColumn="0" w:noHBand="0" w:noVBand="0" w:val="0000"/>
        <w:jc w:val="start"/>
        <w:tblLayout w:type="fixed"/>
      </w:tblPr>
      <w:tblGrid>
        <w:gridCol w:w="7920"/>
      </w:tblGrid>
      <w:tr>
        <w:tc>
          <w:tcPr/>
          <w:bookmarkStart w:id="112" w:name="tbl-hypothesis-2"/>
          <w:p>
            <w:pPr>
              <w:jc w:val="center"/>
            </w:pPr>
            <w:pPr>
              <w:jc w:val="start"/>
              <w:spacing w:before="200"/>
              <w:pStyle w:val="ImageCaption"/>
            </w:pPr>
            <w:r>
              <w:t xml:space="preserve">Table 5: Hypothesis testing results of effect modification by sex for</w:t>
            </w:r>
            <w:r>
              <w:t xml:space="preserve"> </w:t>
            </w:r>
            <m:oMath>
              <m:r>
                <m:t>m</m:t>
              </m:r>
              <m:r>
                <m:t>e</m:t>
              </m:r>
              <m:r>
                <m:t>t</m:t>
              </m:r>
              <m:r>
                <m:t>a</m:t>
              </m:r>
              <m:r>
                <m:t>b</m:t>
              </m:r>
              <m:r>
                <m:t>o</m:t>
              </m:r>
              <m:r>
                <m:t>l</m:t>
              </m:r>
              <m:r>
                <m:t>i</m:t>
              </m:r>
              <m:r>
                <m:t>t</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2"/>
        </w:tc>
      </w:tr>
    </w:tbl>
    <w:tbl>
      <w:tblPr>
        <w:tblStyle w:val="Table"/>
        <w:tblW w:type="pct" w:w="5000"/>
        <w:tblLook w:firstRow="0" w:lastRow="0" w:firstColumn="0" w:lastColumn="0" w:noHBand="0" w:noVBand="0" w:val="0000"/>
        <w:jc w:val="start"/>
        <w:tblLayout w:type="fixed"/>
      </w:tblPr>
      <w:tblGrid>
        <w:gridCol w:w="7920"/>
      </w:tblGrid>
      <w:tr>
        <w:tc>
          <w:tcPr/>
          <w:bookmarkStart w:id="113" w:name="tbl-hypothesis-3"/>
          <w:p>
            <w:pPr>
              <w:jc w:val="center"/>
            </w:pPr>
            <w:pPr>
              <w:jc w:val="start"/>
              <w:spacing w:before="200"/>
              <w:pStyle w:val="ImageCaption"/>
            </w:pPr>
            <w:r>
              <w:t xml:space="preserve">Table 6: Hypothesis testing results of effect modification by sex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3"/>
        </w:tc>
      </w:tr>
    </w:tbl>
    <w:p>
      <w:r>
        <w:br w:type="page"/>
      </w:r>
    </w:p>
    <w:p>
      <w:pPr>
        <w:pStyle w:val="TextBody"/>
      </w:pPr>
      <w:r>
        <w:rPr>
          <w:bCs/>
          <w:b/>
        </w:rPr>
        <w:t xml:space="preserve">The figure titles and legends should be submitted as a single paragraph. The text of figure legends beyond the scale, arrow, panel locant, and axis information should not be included on the figures themselves but should be typed after the reference list. Each legend should be formatted as a separate paragraph and should include details on the place of the study, the time of the study, and the study population (if applicable). Define all figure abbreviations in the legend.</w:t>
      </w:r>
    </w:p>
    <w:p>
      <w:pPr>
        <w:numPr>
          <w:ilvl w:val="0"/>
          <w:numId w:val="1003"/>
        </w:numPr>
        <w:pStyle w:val="Compact"/>
      </w:pPr>
      <w:r>
        <w:t xml:space="preserve">Figure titles and legends should be submitted as single paragraph.</w:t>
      </w:r>
    </w:p>
    <w:bookmarkEnd w:id="114"/>
    <w:bookmarkEnd w:id="115"/>
    <w:bookmarkStart w:id="129" w:name="figures-for-main-results"/>
    <w:p>
      <w:pPr>
        <w:pStyle w:val="Heading1"/>
      </w:pPr>
      <w:r>
        <w:t xml:space="preserve">Figures for main results</w:t>
      </w:r>
    </w:p>
    <w:bookmarkStart w:id="128"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9" w:name="fig-marginal-1"/>
          <w:p>
            <w:pPr>
              <w:pStyle w:val="Compact"/>
              <w:jc w:val="center"/>
            </w:pPr>
            <w:r>
              <w:drawing>
                <wp:inline>
                  <wp:extent cx="5943600" cy="6603999"/>
                  <wp:effectExtent b="0" l="0" r="0" t="0"/>
                  <wp:docPr descr="" title="" id="117" name="Picture"/>
                  <a:graphic>
                    <a:graphicData uri="http://schemas.openxmlformats.org/drawingml/2006/picture">
                      <pic:pic>
                        <pic:nvPicPr>
                          <pic:cNvPr descr="manuscript_files/figure-docx/fig-marginal-1-1.png" id="118" name="Picture"/>
                          <pic:cNvPicPr>
                            <a:picLocks noChangeArrowheads="1" noChangeAspect="1"/>
                          </pic:cNvPicPr>
                        </pic:nvPicPr>
                        <pic:blipFill>
                          <a:blip r:embed="rId116"/>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Marginal comparison results for</w:t>
            </w:r>
            <w:r>
              <w:t xml:space="preserve"> </w:t>
            </w:r>
            <m:oMath>
              <m:r>
                <m:t>h</m:t>
              </m:r>
              <m:r>
                <m:t>i</m:t>
              </m:r>
              <m:r>
                <m:t>t</m:t>
              </m:r>
              <m:r>
                <m:t>r</m:t>
              </m:r>
              <m:r>
                <m:t>t</m:t>
              </m:r>
              <m:r>
                <m:t>s</m:t>
              </m:r>
              <m:r>
                <m:t>e</m:t>
              </m:r>
              <m:r>
                <m:rPr>
                  <m:sty m:val="p"/>
                </m:rPr>
                <m:t>∼</m:t>
              </m:r>
              <m:r>
                <m:t>e</m:t>
              </m:r>
              <m:r>
                <m:t>d</m:t>
              </m:r>
              <m:r>
                <m:t>c</m:t>
              </m:r>
            </m:oMath>
          </w:p>
          <w:bookmarkEnd w:id="119"/>
        </w:tc>
      </w:tr>
    </w:tbl>
    <w:tbl>
      <w:tblPr>
        <w:tblStyle w:val="Table"/>
        <w:tblW w:type="pct" w:w="5000"/>
        <w:tblLook w:firstRow="0" w:lastRow="0" w:firstColumn="0" w:lastColumn="0" w:noHBand="0" w:noVBand="0" w:val="0000"/>
        <w:jc w:val="start"/>
        <w:tblLayout w:type="fixed"/>
      </w:tblPr>
      <w:tblGrid>
        <w:gridCol w:w="7920"/>
      </w:tblGrid>
      <w:tr>
        <w:tc>
          <w:tcPr/>
          <w:bookmarkStart w:id="123" w:name="fig-marginal-2"/>
          <w:p>
            <w:pPr>
              <w:pStyle w:val="Compact"/>
              <w:jc w:val="center"/>
            </w:pPr>
            <w:r>
              <w:drawing>
                <wp:inline>
                  <wp:extent cx="5943600" cy="7924799"/>
                  <wp:effectExtent b="0" l="0" r="0" t="0"/>
                  <wp:docPr descr="" title="" id="121" name="Picture"/>
                  <a:graphic>
                    <a:graphicData uri="http://schemas.openxmlformats.org/drawingml/2006/picture">
                      <pic:pic>
                        <pic:nvPicPr>
                          <pic:cNvPr descr="manuscript_files/figure-docx/fig-marginal-2-1.png" id="122" name="Picture"/>
                          <pic:cNvPicPr>
                            <a:picLocks noChangeArrowheads="1" noChangeAspect="1"/>
                          </pic:cNvPicPr>
                        </pic:nvPicPr>
                        <pic:blipFill>
                          <a:blip r:embed="rId120"/>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Marginal comparison results for</w:t>
            </w:r>
            <w:r>
              <w:t xml:space="preserve"> </w:t>
            </w:r>
            <m:oMath>
              <m:r>
                <m:t>p</m:t>
              </m:r>
              <m:r>
                <m:t>r</m:t>
              </m:r>
              <m:r>
                <m:t>o</m:t>
              </m:r>
              <m:r>
                <m:t>d</m:t>
              </m:r>
              <m:r>
                <m:t>u</m:t>
              </m:r>
              <m:r>
                <m:t>c</m:t>
              </m:r>
              <m:r>
                <m:t>t</m:t>
              </m:r>
              <m:r>
                <m:t>i</m:t>
              </m:r>
              <m:r>
                <m:t>o</m:t>
              </m:r>
              <m:r>
                <m:t>n</m:t>
              </m:r>
              <m:r>
                <m:rPr>
                  <m:sty m:val="p"/>
                </m:rPr>
                <m:t>∼</m:t>
              </m:r>
              <m:r>
                <m:t>e</m:t>
              </m:r>
              <m:r>
                <m:t>d</m:t>
              </m:r>
              <m:r>
                <m:t>c</m:t>
              </m:r>
            </m:oMath>
          </w:p>
          <w:bookmarkEnd w:id="123"/>
        </w:tc>
      </w:tr>
    </w:tbl>
    <w:tbl>
      <w:tblPr>
        <w:tblStyle w:val="Table"/>
        <w:tblW w:type="pct" w:w="5000"/>
        <w:tblLook w:firstRow="0" w:lastRow="0" w:firstColumn="0" w:lastColumn="0" w:noHBand="0" w:noVBand="0" w:val="0000"/>
        <w:jc w:val="start"/>
        <w:tblLayout w:type="fixed"/>
      </w:tblPr>
      <w:tblGrid>
        <w:gridCol w:w="7920"/>
      </w:tblGrid>
      <w:tr>
        <w:tc>
          <w:tcPr/>
          <w:bookmarkStart w:id="127" w:name="fig-marginal-3"/>
          <w:p>
            <w:pPr>
              <w:pStyle w:val="Compact"/>
              <w:jc w:val="center"/>
            </w:pPr>
            <w:r>
              <w:drawing>
                <wp:inline>
                  <wp:extent cx="5943600" cy="3301999"/>
                  <wp:effectExtent b="0" l="0" r="0" t="0"/>
                  <wp:docPr descr="" title="" id="125" name="Picture"/>
                  <a:graphic>
                    <a:graphicData uri="http://schemas.openxmlformats.org/drawingml/2006/picture">
                      <pic:pic>
                        <pic:nvPicPr>
                          <pic:cNvPr descr="manuscript_files/figure-docx/fig-marginal-3-1.png" id="126" name="Picture"/>
                          <pic:cNvPicPr>
                            <a:picLocks noChangeArrowheads="1" noChangeAspect="1"/>
                          </pic:cNvPicPr>
                        </pic:nvPicPr>
                        <pic:blipFill>
                          <a:blip r:embed="rId124"/>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27"/>
        </w:tc>
      </w:tr>
    </w:tbl>
    <w:p>
      <w:r>
        <w:br w:type="page"/>
      </w:r>
    </w:p>
    <w:p>
      <w:pPr>
        <w:numPr>
          <w:ilvl w:val="0"/>
          <w:numId w:val="1004"/>
        </w:numPr>
        <w:pStyle w:val="Compact"/>
      </w:pPr>
      <w:r>
        <w:t xml:space="preserve">Files for supplementary data must be accompanied by a summary of the file names and types.</w:t>
      </w:r>
    </w:p>
    <w:bookmarkEnd w:id="128"/>
    <w:bookmarkEnd w:id="129"/>
    <w:bookmarkStart w:id="131" w:name="supplementary-information"/>
    <w:p>
      <w:pPr>
        <w:pStyle w:val="Heading1"/>
      </w:pPr>
      <w:r>
        <w:t xml:space="preserve">Supplementary information</w:t>
      </w:r>
    </w:p>
    <w:bookmarkStart w:id="130"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30"/>
    <w:bookmarkEnd w:id="131"/>
    <w:bookmarkStart w:id="155" w:name="supplementary-tables"/>
    <w:p>
      <w:pPr>
        <w:pStyle w:val="Heading1"/>
      </w:pPr>
      <w:r>
        <w:t xml:space="preserve">Supplementary tables</w:t>
      </w:r>
    </w:p>
    <w:bookmarkStart w:id="141" w:name="tables-for-descriptive-data-1"/>
    <w:p>
      <w:pPr>
        <w:pStyle w:val="Heading2"/>
      </w:pPr>
      <w:r>
        <w:t xml:space="preserve">Tables for descriptive data</w:t>
      </w:r>
    </w:p>
    <w:bookmarkStart w:id="135"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2"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 Codebook for covariates used in</w:t>
            </w:r>
            <w:r>
              <w:t xml:space="preserve"> </w:t>
            </w:r>
            <m:oMath>
              <m:r>
                <m:t>h</m:t>
              </m:r>
              <m:r>
                <m:t>i</m:t>
              </m:r>
              <m:r>
                <m:t>t</m:t>
              </m:r>
              <m:r>
                <m:t>r</m:t>
              </m:r>
              <m:r>
                <m:t>t</m:t>
              </m:r>
              <m:r>
                <m:t>s</m:t>
              </m:r>
              <m:r>
                <m:t>e</m:t>
              </m:r>
              <m:r>
                <m:rPr>
                  <m:sty m:val="p"/>
                </m:rPr>
                <m:t>∼</m:t>
              </m:r>
              <m:r>
                <m:t>e</m:t>
              </m:r>
              <m:r>
                <m:t>d</m:t>
              </m:r>
              <m:r>
                <m:t>c</m:t>
              </m:r>
            </m:oMath>
          </w:p>
          <w:bookmarkEnd w:id="13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3"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 Codebook for covariates used in</w:t>
            </w:r>
            <w:r>
              <w:t xml:space="preserve"> </w:t>
            </w:r>
            <m:oMath>
              <m:r>
                <m:t>m</m:t>
              </m:r>
              <m:r>
                <m:t>e</m:t>
              </m:r>
              <m:r>
                <m:t>t</m:t>
              </m:r>
              <m:r>
                <m:t>a</m:t>
              </m:r>
              <m:r>
                <m:t>b</m:t>
              </m:r>
              <m:r>
                <m:t>o</m:t>
              </m:r>
              <m:r>
                <m:t>l</m:t>
              </m:r>
              <m:r>
                <m:t>i</m:t>
              </m:r>
              <m:r>
                <m:t>t</m:t>
              </m:r>
              <m:r>
                <m:t>e</m:t>
              </m:r>
              <m:r>
                <m:rPr>
                  <m:sty m:val="p"/>
                </m:rPr>
                <m:t>∼</m:t>
              </m:r>
              <m:r>
                <m:t>e</m:t>
              </m:r>
              <m:r>
                <m:t>d</m:t>
              </m:r>
              <m:r>
                <m:t>c</m:t>
              </m:r>
            </m:oMath>
          </w:p>
          <w:bookmarkEnd w:id="13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4"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 Codebook for covariates used in</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34"/>
        </w:tc>
      </w:tr>
    </w:tbl>
    <w:bookmarkEnd w:id="135"/>
    <w:bookmarkStart w:id="137"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36"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 Information about non-persistent EDCs</w:t>
            </w:r>
          </w:p>
          <w:bookmarkEnd w:id="136"/>
        </w:tc>
      </w:tr>
    </w:tbl>
    <w:bookmarkEnd w:id="137"/>
    <w:bookmarkStart w:id="140"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38"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p>
            <w:pPr>
              <w:jc w:val="center"/>
            </w:pPr>
            <w:pPr>
              <w:jc w:val="start"/>
              <w:spacing w:before="200"/>
              <w:pStyle w:val="ImageCaption"/>
            </w:pPr>
            <w:r>
              <w:t xml:space="preserve">Table S5: Information about metabolites</w:t>
            </w:r>
          </w:p>
          <w:bookmarkEnd w:id="13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9"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p>
            <w:pPr>
              <w:jc w:val="center"/>
            </w:pPr>
            <w:pPr>
              <w:jc w:val="start"/>
              <w:spacing w:before="200"/>
              <w:pStyle w:val="ImageCaption"/>
            </w:pPr>
            <w:r>
              <w:t xml:space="preserve">Table S6: Lower limits of quantification for the corticosteroids</w:t>
            </w:r>
          </w:p>
          <w:bookmarkEnd w:id="139"/>
        </w:tc>
      </w:tr>
    </w:tbl>
    <w:bookmarkEnd w:id="140"/>
    <w:bookmarkEnd w:id="141"/>
    <w:bookmarkStart w:id="149" w:name="tables-for-main-results"/>
    <w:p>
      <w:pPr>
        <w:pStyle w:val="Heading2"/>
      </w:pPr>
      <w:r>
        <w:t xml:space="preserve">Tables for main results</w:t>
      </w:r>
    </w:p>
    <w:bookmarkStart w:id="148"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42"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S7: Effective sample size before and after weights estimation for</w:t>
            </w:r>
            <w:r>
              <w:t xml:space="preserve"> </w:t>
            </w:r>
            <m:oMath>
              <m:r>
                <m:t>h</m:t>
              </m:r>
              <m:r>
                <m:t>i</m:t>
              </m:r>
              <m:r>
                <m:t>t</m:t>
              </m:r>
              <m:r>
                <m:t>r</m:t>
              </m:r>
              <m:r>
                <m:t>t</m:t>
              </m:r>
              <m:r>
                <m:t>s</m:t>
              </m:r>
              <m:r>
                <m:t>e</m:t>
              </m:r>
              <m:r>
                <m:rPr>
                  <m:sty m:val="p"/>
                </m:rPr>
                <m:t>∼</m:t>
              </m:r>
              <m:r>
                <m:t>e</m:t>
              </m:r>
              <m:r>
                <m:t>d</m:t>
              </m:r>
              <m:r>
                <m:t>c</m:t>
              </m:r>
            </m:oMath>
          </w:p>
          <w:bookmarkEnd w:id="14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S8: Effective sample size before and after weights estimation for</w:t>
            </w:r>
            <w:r>
              <w:t xml:space="preserve"> </w:t>
            </w:r>
            <m:oMath>
              <m:r>
                <m:t>m</m:t>
              </m:r>
              <m:r>
                <m:t>e</m:t>
              </m:r>
              <m:r>
                <m:t>t</m:t>
              </m:r>
              <m:r>
                <m:t>a</m:t>
              </m:r>
              <m:r>
                <m:t>b</m:t>
              </m:r>
              <m:r>
                <m:t>o</m:t>
              </m:r>
              <m:r>
                <m:t>l</m:t>
              </m:r>
              <m:r>
                <m:t>i</m:t>
              </m:r>
              <m:r>
                <m:t>t</m:t>
              </m:r>
              <m:r>
                <m:t>e</m:t>
              </m:r>
              <m:r>
                <m:rPr>
                  <m:sty m:val="p"/>
                </m:rPr>
                <m:t>∼</m:t>
              </m:r>
              <m:r>
                <m:t>e</m:t>
              </m:r>
              <m:r>
                <m:t>d</m:t>
              </m:r>
              <m:r>
                <m:t>c</m:t>
              </m:r>
            </m:oMath>
          </w:p>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S9: Effective sample size before and after weights estimation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4"/>
        </w:tc>
      </w:tr>
    </w:tbl>
    <w:p/>
    <w:tbl>
      <w:tblPr>
        <w:tblStyle w:val="Table"/>
        <w:tblW w:type="pct" w:w="5000"/>
        <w:tblLook w:firstRow="0" w:lastRow="0" w:firstColumn="0" w:lastColumn="0" w:noHBand="0" w:noVBand="0" w:val="0000"/>
        <w:jc w:val="start"/>
        <w:tblLayout w:type="fixed"/>
      </w:tblPr>
      <w:tblGrid>
        <w:gridCol w:w="7920"/>
      </w:tblGrid>
      <w:tr>
        <w:tc>
          <w:tcPr/>
          <w:bookmarkStart w:id="145"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S10: Summary statistics of the estimated balancing weights for</w:t>
            </w:r>
            <w:r>
              <w:t xml:space="preserve"> </w:t>
            </w:r>
            <m:oMath>
              <m:r>
                <m:t>h</m:t>
              </m:r>
              <m:r>
                <m:t>i</m:t>
              </m:r>
              <m:r>
                <m:t>t</m:t>
              </m:r>
              <m:r>
                <m:t>r</m:t>
              </m:r>
              <m:r>
                <m:t>t</m:t>
              </m:r>
              <m:r>
                <m:t>s</m:t>
              </m:r>
              <m:r>
                <m:t>e</m:t>
              </m:r>
              <m:r>
                <m:rPr>
                  <m:sty m:val="p"/>
                </m:rPr>
                <m:t>∼</m:t>
              </m:r>
              <m:r>
                <m:t>e</m:t>
              </m:r>
              <m:r>
                <m:t>d</m:t>
              </m:r>
              <m:r>
                <m:t>c</m:t>
              </m:r>
            </m:oMath>
          </w:p>
          <w:bookmarkEnd w:id="145"/>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6"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S11: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oMath>
          </w:p>
          <w:bookmarkEnd w:id="14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7"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S12: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7"/>
        </w:tc>
      </w:tr>
    </w:tbl>
    <w:bookmarkEnd w:id="148"/>
    <w:bookmarkEnd w:id="149"/>
    <w:bookmarkStart w:id="154" w:name="tables-for-other-results"/>
    <w:p>
      <w:pPr>
        <w:pStyle w:val="Heading2"/>
      </w:pPr>
      <w:r>
        <w:t xml:space="preserve">Tables for other results</w:t>
      </w:r>
    </w:p>
    <w:bookmarkStart w:id="153"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50"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S13: Summary statistics of the estimated balancing weights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5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1"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S14: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5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2"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S15: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52"/>
        </w:tc>
      </w:tr>
    </w:tbl>
    <w:bookmarkEnd w:id="153"/>
    <w:bookmarkEnd w:id="154"/>
    <w:bookmarkEnd w:id="155"/>
    <w:bookmarkStart w:id="182" w:name="supplementary-figures"/>
    <w:p>
      <w:pPr>
        <w:pStyle w:val="Heading1"/>
      </w:pPr>
      <w:r>
        <w:t xml:space="preserve">Supplementary figures</w:t>
      </w:r>
    </w:p>
    <w:bookmarkStart w:id="166" w:name="figures-for-descriptive-data"/>
    <w:p>
      <w:pPr>
        <w:pStyle w:val="Heading2"/>
      </w:pPr>
      <w:r>
        <w:t xml:space="preserve">Figures for descriptive data</w:t>
      </w:r>
    </w:p>
    <w:bookmarkStart w:id="160"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59" w:name="suppfig-desc-chems"/>
          <w:p>
            <w:pPr>
              <w:jc w:val="center"/>
            </w:pPr>
            <w:r>
              <w:drawing>
                <wp:inline>
                  <wp:extent cx="5544151" cy="6468176"/>
                  <wp:effectExtent b="0" l="0" r="0" t="0"/>
                  <wp:docPr descr="" title="" id="157" name="Picture"/>
                  <a:graphic>
                    <a:graphicData uri="http://schemas.openxmlformats.org/drawingml/2006/picture">
                      <pic:pic>
                        <pic:nvPicPr>
                          <pic:cNvPr descr="manuscript_files/figure-docx/desc-chems-lod-1.png" id="158" name="Picture"/>
                          <pic:cNvPicPr>
                            <a:picLocks noChangeArrowheads="1" noChangeAspect="1"/>
                          </pic:cNvPicPr>
                        </pic:nvPicPr>
                        <pic:blipFill>
                          <a:blip r:embed="rId156"/>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Classification of the measured non-persistent EDCs, by cohort.</w:t>
            </w:r>
          </w:p>
          <w:bookmarkEnd w:id="159"/>
        </w:tc>
      </w:tr>
    </w:tbl>
    <w:bookmarkEnd w:id="160"/>
    <w:bookmarkStart w:id="165"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4" w:name="suppfig-desc-mets"/>
          <w:p>
            <w:pPr>
              <w:jc w:val="center"/>
            </w:pPr>
            <w:r>
              <w:drawing>
                <wp:inline>
                  <wp:extent cx="5544151" cy="6468176"/>
                  <wp:effectExtent b="0" l="0" r="0" t="0"/>
                  <wp:docPr descr="" title="" id="162" name="Picture"/>
                  <a:graphic>
                    <a:graphicData uri="http://schemas.openxmlformats.org/drawingml/2006/picture">
                      <pic:pic>
                        <pic:nvPicPr>
                          <pic:cNvPr descr="manuscript_files/figure-docx/desc-mets-lod-1.png" id="163" name="Picture"/>
                          <pic:cNvPicPr>
                            <a:picLocks noChangeArrowheads="1" noChangeAspect="1"/>
                          </pic:cNvPicPr>
                        </pic:nvPicPr>
                        <pic:blipFill>
                          <a:blip r:embed="rId161"/>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Classification of the measured corticosteroids, by cohort.</w:t>
            </w:r>
          </w:p>
          <w:bookmarkEnd w:id="164"/>
        </w:tc>
      </w:tr>
    </w:tbl>
    <w:bookmarkEnd w:id="165"/>
    <w:bookmarkEnd w:id="166"/>
    <w:bookmarkStart w:id="181" w:name="figures-for-other-results"/>
    <w:p>
      <w:pPr>
        <w:pStyle w:val="Heading2"/>
      </w:pPr>
      <w:r>
        <w:t xml:space="preserve">Figures for other results</w:t>
      </w:r>
    </w:p>
    <w:bookmarkStart w:id="179" w:name="X32b9be1d778b4a822948bcecdc4b3424eacca29"/>
    <w:p>
      <w:pPr>
        <w:pStyle w:val="Heading3"/>
      </w:pPr>
      <w:r>
        <w:t xml:space="preserve">Marginal comparisons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0" w:name="suppfig-marginal-1sa"/>
          <w:p>
            <w:pPr>
              <w:jc w:val="center"/>
            </w:pPr>
            <w:r>
              <w:drawing>
                <wp:inline>
                  <wp:extent cx="5544151" cy="6468176"/>
                  <wp:effectExtent b="0" l="0" r="0" t="0"/>
                  <wp:docPr descr="" title="" id="168" name="Picture"/>
                  <a:graphic>
                    <a:graphicData uri="http://schemas.openxmlformats.org/drawingml/2006/picture">
                      <pic:pic>
                        <pic:nvPicPr>
                          <pic:cNvPr descr="manuscript_files/figure-docx/marginal-1sa-1.png" id="169" name="Picture"/>
                          <pic:cNvPicPr>
                            <a:picLocks noChangeArrowheads="1" noChangeAspect="1"/>
                          </pic:cNvPicPr>
                        </pic:nvPicPr>
                        <pic:blipFill>
                          <a:blip r:embed="rId16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Marginal comparison results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7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4" w:name="suppfig-marginal-2sa"/>
          <w:p>
            <w:pPr>
              <w:jc w:val="center"/>
            </w:pPr>
            <w:r>
              <w:drawing>
                <wp:inline>
                  <wp:extent cx="5943600" cy="7924799"/>
                  <wp:effectExtent b="0" l="0" r="0" t="0"/>
                  <wp:docPr descr="" title="" id="172" name="Picture"/>
                  <a:graphic>
                    <a:graphicData uri="http://schemas.openxmlformats.org/drawingml/2006/picture">
                      <pic:pic>
                        <pic:nvPicPr>
                          <pic:cNvPr descr="manuscript_files/figure-docx/marginal-2sa-1.png" id="173" name="Picture"/>
                          <pic:cNvPicPr>
                            <a:picLocks noChangeArrowheads="1" noChangeAspect="1"/>
                          </pic:cNvPicPr>
                        </pic:nvPicPr>
                        <pic:blipFill>
                          <a:blip r:embed="rId171"/>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Marginal comparison results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7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fig-marginal-3sa"/>
          <w:p>
            <w:pPr>
              <w:jc w:val="center"/>
            </w:pPr>
            <w:r>
              <w:drawing>
                <wp:inline>
                  <wp:extent cx="5544151" cy="4620126"/>
                  <wp:effectExtent b="0" l="0" r="0" t="0"/>
                  <wp:docPr descr="" title="" id="176" name="Picture"/>
                  <a:graphic>
                    <a:graphicData uri="http://schemas.openxmlformats.org/drawingml/2006/picture">
                      <pic:pic>
                        <pic:nvPicPr>
                          <pic:cNvPr descr="manuscript_files/figure-docx/marginal-3sa-1.png" id="177" name="Picture"/>
                          <pic:cNvPicPr>
                            <a:picLocks noChangeArrowheads="1" noChangeAspect="1"/>
                          </pic:cNvPicPr>
                        </pic:nvPicPr>
                        <pic:blipFill>
                          <a:blip r:embed="rId175"/>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78"/>
        </w:tc>
      </w:tr>
    </w:tbl>
    <w:bookmarkEnd w:id="179"/>
    <w:bookmarkStart w:id="180" w:name="sensitivity-to-exposure-assessment-1"/>
    <w:p>
      <w:pPr>
        <w:pStyle w:val="Heading3"/>
      </w:pPr>
      <w:r>
        <w:t xml:space="preserve">Sensitivity to exposure assessment</w:t>
      </w:r>
    </w:p>
    <w:bookmarkEnd w:id="180"/>
    <w:bookmarkEnd w:id="181"/>
    <w:bookmarkEnd w:id="182"/>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hyperlink" Id="rId41" Target="https://doi.org/10.1016/S1474-4422(13)70278-3" TargetMode="External" /><Relationship Type="http://schemas.openxmlformats.org/officeDocument/2006/relationships/hyperlink" Id="rId75" Target="https://doi.org/10.1016/j.aca.2013.12.030" TargetMode="External" /><Relationship Type="http://schemas.openxmlformats.org/officeDocument/2006/relationships/hyperlink" Id="rId77" Target="https://doi.org/10.1016/j.chroma.2020.461179" TargetMode="External" /><Relationship Type="http://schemas.openxmlformats.org/officeDocument/2006/relationships/hyperlink" Id="rId49" Target="https://doi.org/10.1016/j.envint.2018.09.037" TargetMode="External" /><Relationship Type="http://schemas.openxmlformats.org/officeDocument/2006/relationships/hyperlink" Id="rId100" Target="https://doi.org/10.1016/j.envint.2018.09.046" TargetMode="External" /><Relationship Type="http://schemas.openxmlformats.org/officeDocument/2006/relationships/hyperlink" Id="rId73" Target="https://doi.org/10.1016/j.envint.2018.09.056" TargetMode="External" /><Relationship Type="http://schemas.openxmlformats.org/officeDocument/2006/relationships/hyperlink" Id="rId43" Target="https://doi.org/10.1016/j.envres.2021.111890" TargetMode="External" /><Relationship Type="http://schemas.openxmlformats.org/officeDocument/2006/relationships/hyperlink" Id="rId79" Target="https://doi.org/10.1016/j.neuropsychologia.2003.12.012" TargetMode="External" /><Relationship Type="http://schemas.openxmlformats.org/officeDocument/2006/relationships/hyperlink" Id="rId47" Target="https://doi.org/10.1016/j.scitotenv.2018.01.125" TargetMode="External" /><Relationship Type="http://schemas.openxmlformats.org/officeDocument/2006/relationships/hyperlink" Id="rId45" Target="https://doi.org/10.1038/nrendo.2016.186" TargetMode="External" /><Relationship Type="http://schemas.openxmlformats.org/officeDocument/2006/relationships/hyperlink" Id="rId89" Target="https://doi.org/10.1080/01621459.2023.2213485" TargetMode="External" /><Relationship Type="http://schemas.openxmlformats.org/officeDocument/2006/relationships/hyperlink" Id="rId51" Target="https://doi.org/10.1093/aje/kwad198" TargetMode="External" /><Relationship Type="http://schemas.openxmlformats.org/officeDocument/2006/relationships/hyperlink" Id="rId65" Target="https://doi.org/10.1093/aje/kwp211" TargetMode="External" /><Relationship Type="http://schemas.openxmlformats.org/officeDocument/2006/relationships/hyperlink" Id="rId63" Target="https://doi.org/10.1093/ije/dyl170" TargetMode="External" /><Relationship Type="http://schemas.openxmlformats.org/officeDocument/2006/relationships/hyperlink" Id="rId59" Target="https://doi.org/10.1093/ije/dyr054" TargetMode="External" /><Relationship Type="http://schemas.openxmlformats.org/officeDocument/2006/relationships/hyperlink" Id="rId55" Target="https://doi.org/10.1093/ije/dys112" TargetMode="External" /><Relationship Type="http://schemas.openxmlformats.org/officeDocument/2006/relationships/hyperlink" Id="rId57" Target="https://doi.org/10.1093/ije/dyv151" TargetMode="External" /><Relationship Type="http://schemas.openxmlformats.org/officeDocument/2006/relationships/hyperlink" Id="rId69" Target="https://doi.org/10.1093/ije/dyw341" TargetMode="External" /><Relationship Type="http://schemas.openxmlformats.org/officeDocument/2006/relationships/hyperlink" Id="rId67" Target="https://doi.org/10.1136/bmjopen-2017-021311" TargetMode="External" /><Relationship Type="http://schemas.openxmlformats.org/officeDocument/2006/relationships/hyperlink" Id="rId53" Target="https://doi.org/10.1289/ehp.1307204" TargetMode="External" /><Relationship Type="http://schemas.openxmlformats.org/officeDocument/2006/relationships/hyperlink" Id="rId81" Target="https://doi.org/10.1371/journal.pmed.1001792" TargetMode="External" /><Relationship Type="http://schemas.openxmlformats.org/officeDocument/2006/relationships/hyperlink" Id="rId96" Target="https://doi.org/10.18637/jss.v011.i10" TargetMode="External" /><Relationship Type="http://schemas.openxmlformats.org/officeDocument/2006/relationships/hyperlink" Id="rId83" Target="https://doi.org/10.18637/jss.v074.i07" TargetMode="External" /><Relationship Type="http://schemas.openxmlformats.org/officeDocument/2006/relationships/hyperlink" Id="rId98" Target="https://doi.org/10.18637/jss.v095.i01"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39/ssrn.3605606" TargetMode="External" /><Relationship Type="http://schemas.openxmlformats.org/officeDocument/2006/relationships/hyperlink" Id="rId61" Target="https://doi.org/10.3390/ijerph6031282" TargetMode="External" /><Relationship Type="http://schemas.openxmlformats.org/officeDocument/2006/relationships/hyperlink" Id="rId71" Target="https://github.com/r-causal/ggdag" TargetMode="External" /><Relationship Type="http://schemas.openxmlformats.org/officeDocument/2006/relationships/hyperlink" Id="rId94"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S1474-4422(13)70278-3" TargetMode="External" /><Relationship Type="http://schemas.openxmlformats.org/officeDocument/2006/relationships/hyperlink" Id="rId75" Target="https://doi.org/10.1016/j.aca.2013.12.030" TargetMode="External" /><Relationship Type="http://schemas.openxmlformats.org/officeDocument/2006/relationships/hyperlink" Id="rId77" Target="https://doi.org/10.1016/j.chroma.2020.461179" TargetMode="External" /><Relationship Type="http://schemas.openxmlformats.org/officeDocument/2006/relationships/hyperlink" Id="rId49" Target="https://doi.org/10.1016/j.envint.2018.09.037" TargetMode="External" /><Relationship Type="http://schemas.openxmlformats.org/officeDocument/2006/relationships/hyperlink" Id="rId100" Target="https://doi.org/10.1016/j.envint.2018.09.046" TargetMode="External" /><Relationship Type="http://schemas.openxmlformats.org/officeDocument/2006/relationships/hyperlink" Id="rId73" Target="https://doi.org/10.1016/j.envint.2018.09.056" TargetMode="External" /><Relationship Type="http://schemas.openxmlformats.org/officeDocument/2006/relationships/hyperlink" Id="rId43" Target="https://doi.org/10.1016/j.envres.2021.111890" TargetMode="External" /><Relationship Type="http://schemas.openxmlformats.org/officeDocument/2006/relationships/hyperlink" Id="rId79" Target="https://doi.org/10.1016/j.neuropsychologia.2003.12.012" TargetMode="External" /><Relationship Type="http://schemas.openxmlformats.org/officeDocument/2006/relationships/hyperlink" Id="rId47" Target="https://doi.org/10.1016/j.scitotenv.2018.01.125" TargetMode="External" /><Relationship Type="http://schemas.openxmlformats.org/officeDocument/2006/relationships/hyperlink" Id="rId45" Target="https://doi.org/10.1038/nrendo.2016.186" TargetMode="External" /><Relationship Type="http://schemas.openxmlformats.org/officeDocument/2006/relationships/hyperlink" Id="rId89" Target="https://doi.org/10.1080/01621459.2023.2213485" TargetMode="External" /><Relationship Type="http://schemas.openxmlformats.org/officeDocument/2006/relationships/hyperlink" Id="rId51" Target="https://doi.org/10.1093/aje/kwad198" TargetMode="External" /><Relationship Type="http://schemas.openxmlformats.org/officeDocument/2006/relationships/hyperlink" Id="rId65" Target="https://doi.org/10.1093/aje/kwp211" TargetMode="External" /><Relationship Type="http://schemas.openxmlformats.org/officeDocument/2006/relationships/hyperlink" Id="rId63" Target="https://doi.org/10.1093/ije/dyl170" TargetMode="External" /><Relationship Type="http://schemas.openxmlformats.org/officeDocument/2006/relationships/hyperlink" Id="rId59" Target="https://doi.org/10.1093/ije/dyr054" TargetMode="External" /><Relationship Type="http://schemas.openxmlformats.org/officeDocument/2006/relationships/hyperlink" Id="rId55" Target="https://doi.org/10.1093/ije/dys112" TargetMode="External" /><Relationship Type="http://schemas.openxmlformats.org/officeDocument/2006/relationships/hyperlink" Id="rId57" Target="https://doi.org/10.1093/ije/dyv151" TargetMode="External" /><Relationship Type="http://schemas.openxmlformats.org/officeDocument/2006/relationships/hyperlink" Id="rId69" Target="https://doi.org/10.1093/ije/dyw341" TargetMode="External" /><Relationship Type="http://schemas.openxmlformats.org/officeDocument/2006/relationships/hyperlink" Id="rId67" Target="https://doi.org/10.1136/bmjopen-2017-021311" TargetMode="External" /><Relationship Type="http://schemas.openxmlformats.org/officeDocument/2006/relationships/hyperlink" Id="rId53" Target="https://doi.org/10.1289/ehp.1307204" TargetMode="External" /><Relationship Type="http://schemas.openxmlformats.org/officeDocument/2006/relationships/hyperlink" Id="rId81" Target="https://doi.org/10.1371/journal.pmed.1001792" TargetMode="External" /><Relationship Type="http://schemas.openxmlformats.org/officeDocument/2006/relationships/hyperlink" Id="rId96" Target="https://doi.org/10.18637/jss.v011.i10" TargetMode="External" /><Relationship Type="http://schemas.openxmlformats.org/officeDocument/2006/relationships/hyperlink" Id="rId83" Target="https://doi.org/10.18637/jss.v074.i07" TargetMode="External" /><Relationship Type="http://schemas.openxmlformats.org/officeDocument/2006/relationships/hyperlink" Id="rId98" Target="https://doi.org/10.18637/jss.v095.i01" TargetMode="External" /><Relationship Type="http://schemas.openxmlformats.org/officeDocument/2006/relationships/hyperlink" Id="rId85" Target="https://doi.org/10.21105/joss.03139" TargetMode="External" /><Relationship Type="http://schemas.openxmlformats.org/officeDocument/2006/relationships/hyperlink" Id="rId92" Target="https://doi.org/10.2139/ssrn.3605606" TargetMode="External" /><Relationship Type="http://schemas.openxmlformats.org/officeDocument/2006/relationships/hyperlink" Id="rId61" Target="https://doi.org/10.3390/ijerph6031282" TargetMode="External" /><Relationship Type="http://schemas.openxmlformats.org/officeDocument/2006/relationships/hyperlink" Id="rId71" Target="https://github.com/r-causal/ggdag" TargetMode="External" /><Relationship Type="http://schemas.openxmlformats.org/officeDocument/2006/relationships/hyperlink" Id="rId94"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2023-12-27T13:02:56Z</dcterms:created>
  <dcterms:modified xsi:type="dcterms:W3CDTF">2023-12-27T13:02:56Z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