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9.png" ContentType="image/png"/>
  <Override PartName="/word/media/rId204.png" ContentType="image/png"/>
  <Override PartName="/word/media/rId148.png" ContentType="image/png"/>
  <Override PartName="/word/media/rId210.png" ContentType="image/png"/>
  <Override PartName="/word/media/rId152.png" ContentType="image/png"/>
  <Override PartName="/word/media/rId214.png" ContentType="image/png"/>
  <Override PartName="/word/media/rId156.png" ContentType="image/png"/>
  <Override PartName="/word/media/rId218.png" ContentType="image/png"/>
  <Override PartName="/word/media/rId1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using data from the Human Early-Life Exposome (HELIX) cohort. We used the parametric g-formula to estimate effects between EDCs, glucocorticosteroids, and hit reaction time standard error (HRT-SE), a measure of efficiency from the Attention Network Test (ANT),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inattentiveness outcomes in children and with the homeostasis of the HPA axis.</w:t>
      </w:r>
    </w:p>
    <w:p>
      <w:r>
        <w:br w:type="page"/>
      </w:r>
    </w:p>
    <w:p>
      <w:pPr>
        <w:pStyle w:val="BodyText"/>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Multiple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infancy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with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components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3</w:t>
        </w:r>
      </w:hyperlink>
      <w:r>
        <w:t xml:space="preserve">, </w:t>
      </w:r>
      <w:hyperlink w:anchor="supptbl-codebook-2">
        <w:r>
          <w:rPr>
            <w:rStyle w:val="Hyperlink"/>
          </w:rPr>
          <w:t xml:space="preserve">4</w:t>
        </w:r>
      </w:hyperlink>
      <w:r>
        <w:t xml:space="preserve">, </w:t>
      </w:r>
      <w:hyperlink w:anchor="supptbl-codebook-3">
        <w:r>
          <w:rPr>
            <w:rStyle w:val="Hyperlink"/>
          </w:rPr>
          <w:t xml:space="preserve">5</w:t>
        </w:r>
      </w:hyperlink>
      <w:r>
        <w:t xml:space="preserve">.</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43</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44</w:t>
        </w:r>
      </w:hyperlink>
      <w:r>
        <w:t xml:space="preserve">,</w:t>
      </w:r>
      <w:hyperlink w:anchor="ref-ZeileisKollGraham:2020">
        <w:r>
          <w:rPr>
            <w:rStyle w:val="Hyperlink"/>
          </w:rPr>
          <w:t xml:space="preserve">45</w:t>
        </w:r>
      </w:hyperlink>
      <w:r>
        <w:t xml:space="preserve">)</w:t>
      </w:r>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females and 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S7</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S8</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decrease in the levels of the exposures from the 90th to the 10th percentiles was associated with a positive MC, indicating an increase in the values of HRT-SE and thus lower attention. Most of the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2</w:t>
        </w:r>
      </w:hyperlink>
      <w:r>
        <w:t xml:space="preserve"> </w:t>
      </w:r>
      <w:r>
        <w:t xml:space="preserve">presents the forest plot for the MCs of the non-persistent EDCs on total cortisone, cortisol, and corticosterone production. For most EDCs, a cohort-specific decrease in the levels of the exposures from the 90th to the 10th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for females and males, for the EDCs on the glucocorticosteroids and HRT-SE. For HRT-SE, significant differences were present for the phenol OXBE (MC: 0.032 and</w:t>
      </w:r>
      <w:r>
        <w:t xml:space="preserve"> </w:t>
      </w:r>
      <m:oMath>
        <m:r>
          <m:t>95</m:t>
        </m:r>
        <m:r>
          <m:rPr>
            <m:sty m:val="p"/>
          </m:rPr>
          <m:t>%</m:t>
        </m:r>
      </m:oMath>
      <w:r>
        <w:t xml:space="preserve"> </w:t>
      </w:r>
      <w:r>
        <w:t xml:space="preserve">CI: (0.004, 0.061)) and the phthalate metabolites MEP (MC: -0.053 and</w:t>
      </w:r>
      <w:r>
        <w:t xml:space="preserve"> </w:t>
      </w:r>
      <m:oMath>
        <m:r>
          <m:t>95</m:t>
        </m:r>
        <m:r>
          <m:rPr>
            <m:sty m:val="p"/>
          </m:rPr>
          <m:t>%</m:t>
        </m:r>
      </m:oMath>
      <w:r>
        <w:t xml:space="preserve"> </w:t>
      </w:r>
      <w:r>
        <w:t xml:space="preserve">CI: (-0.138, 0.033)) and MbZP (MC: -0.066 and</w:t>
      </w:r>
      <w:r>
        <w:t xml:space="preserve"> </w:t>
      </w:r>
      <m:oMath>
        <m:r>
          <m:t>95</m:t>
        </m:r>
        <m:r>
          <m:rPr>
            <m:sty m:val="p"/>
          </m:rPr>
          <m:t>%</m:t>
        </m:r>
      </m:oMath>
      <w:r>
        <w:t xml:space="preserve"> </w:t>
      </w:r>
      <w:r>
        <w:t xml:space="preserve">CI: (-0.126, -0.007)). For the glucocorticosteroids, significant differences were present across all three classes of EDCs and for all outcomes. The largest differences were attributable to the OP pesticides DMTP (cortisol production, MC: -0.21 and</w:t>
      </w:r>
      <w:r>
        <w:t xml:space="preserve"> </w:t>
      </w:r>
      <m:oMath>
        <m:r>
          <m:t>95</m:t>
        </m:r>
        <m:r>
          <m:rPr>
            <m:sty m:val="p"/>
          </m:rPr>
          <m:t>%</m:t>
        </m:r>
      </m:oMath>
      <w:r>
        <w:t xml:space="preserve"> </w:t>
      </w:r>
      <w:r>
        <w:t xml:space="preserve">CI: (-0.326, -0.094)) and DETP (corticosterone production, (MC: -0.16 and</w:t>
      </w:r>
      <w:r>
        <w:t xml:space="preserve"> </w:t>
      </w:r>
      <m:oMath>
        <m:r>
          <m:t>95</m:t>
        </m:r>
        <m:r>
          <m:rPr>
            <m:sty m:val="p"/>
          </m:rPr>
          <m:t>%</m:t>
        </m:r>
      </m:oMath>
      <w:r>
        <w:t xml:space="preserve"> </w:t>
      </w:r>
      <w:r>
        <w:t xml:space="preserve">CI: (-0.332, 0.011)); cortisone production, (MC: -0.097 and</w:t>
      </w:r>
      <w:r>
        <w:t xml:space="preserve"> </w:t>
      </w:r>
      <m:oMath>
        <m:r>
          <m:t>95</m:t>
        </m:r>
        <m:r>
          <m:rPr>
            <m:sty m:val="p"/>
          </m:rPr>
          <m:t>%</m:t>
        </m:r>
      </m:oMath>
      <w:r>
        <w:t xml:space="preserve"> </w:t>
      </w:r>
      <w:r>
        <w:t xml:space="preserve">CI: (-0.269, 0.076))).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 Nonetheless, previous toxicological studies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46</w:t>
        </w:r>
      </w:hyperlink>
      <w:r>
        <w:t xml:space="preserve">,</w:t>
      </w:r>
      <w:hyperlink w:anchor="ref-MaLianDong:2011">
        <w:r>
          <w:rPr>
            <w:rStyle w:val="Hyperlink"/>
          </w:rPr>
          <w:t xml:space="preserve">47</w:t>
        </w:r>
      </w:hyperlink>
      <w:r>
        <w:t xml:space="preserve">)</w:t>
      </w:r>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48</w:t>
        </w:r>
      </w:hyperlink>
      <w:r>
        <w:t xml:space="preserve">,</w:t>
      </w:r>
      <w:hyperlink w:anchor="ref-YangLiRen:2019">
        <w:r>
          <w:rPr>
            <w:rStyle w:val="Hyperlink"/>
          </w:rPr>
          <w:t xml:space="preserve">49</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removed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PerrierGiorgis-AllemandSlama:2016">
        <w:r>
          <w:rPr>
            <w:rStyle w:val="Hyperlink"/>
          </w:rPr>
          <w:t xml:space="preserve">50</w:t>
        </w:r>
      </w:hyperlink>
      <w:r>
        <w:t xml:space="preserve">,</w:t>
      </w:r>
      <w:hyperlink w:anchor="ref-CasasBasaganaSakhi:2018">
        <w:r>
          <w:rPr>
            <w:rStyle w:val="Hyperlink"/>
          </w:rPr>
          <w:t xml:space="preserve">51</w:t>
        </w:r>
      </w:hyperlink>
      <w:r>
        <w:t xml:space="preserve">)</w:t>
      </w:r>
      <w:r>
        <w:t xml:space="preserve">.</w:t>
      </w:r>
      <w:r>
        <w:t xml:space="preserve"> </w:t>
      </w:r>
      <w:r>
        <w:t xml:space="preserve">We decided to model both the</w:t>
      </w:r>
      <w:r>
        <w:t xml:space="preserve"> </w:t>
      </w:r>
      <w:r>
        <w:rPr>
          <w:i/>
          <w:iCs/>
        </w:rPr>
        <w:t xml:space="preserve">treatment</w:t>
      </w:r>
      <w:r>
        <w:t xml:space="preserve"> </w:t>
      </w:r>
      <w:r>
        <w:t xml:space="preserve">mechanisms, for the estimation of balancing weights, and the outcomes, with traditional covariates adjustment, to try to obtain</w:t>
      </w:r>
      <w:r>
        <w:t xml:space="preserve"> </w:t>
      </w:r>
      <w:r>
        <w:rPr>
          <w:i/>
          <w:iCs/>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36" w:name="references"/>
    <w:p>
      <w:pPr>
        <w:pStyle w:val="Heading1"/>
      </w:pPr>
      <w:r>
        <w:t xml:space="preserve">References</w:t>
      </w:r>
    </w:p>
    <w:bookmarkStart w:id="135"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
          <w:iCs/>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
          <w:iCs/>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
          <w:iCs/>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
          <w:iCs/>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
          <w:iCs/>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
          <w:iCs/>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
          <w:iCs/>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
          <w:iCs/>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Arel-Bundock:2023"/>
    <w:p>
      <w:pPr>
        <w:pStyle w:val="Bibliography"/>
      </w:pPr>
      <w:r>
        <w:t xml:space="preserve">43.</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7">
        <w:r>
          <w:rPr>
            <w:rStyle w:val="Hyperlink"/>
          </w:rPr>
          <w:t xml:space="preserve">https://marginaleffects.com/</w:t>
        </w:r>
      </w:hyperlink>
      <w:r>
        <w:t xml:space="preserve">)</w:t>
      </w:r>
    </w:p>
    <w:bookmarkEnd w:id="118"/>
    <w:bookmarkStart w:id="120" w:name="ref-Zeileis:2004"/>
    <w:p>
      <w:pPr>
        <w:pStyle w:val="Bibliography"/>
      </w:pPr>
      <w:r>
        <w:t xml:space="preserve">44.</w:t>
      </w:r>
      <w:r>
        <w:t xml:space="preserve"> </w:t>
      </w:r>
      <w:r>
        <w:t xml:space="preserve">	</w:t>
      </w:r>
      <w:r>
        <w:t xml:space="preserve">Zeileis A.</w:t>
      </w:r>
      <w:r>
        <w:t xml:space="preserve"> </w:t>
      </w:r>
      <w:hyperlink r:id="rId119">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
          <w:iCs/>
        </w:rPr>
        <w:t xml:space="preserve">Journal of Statistical Software</w:t>
      </w:r>
      <w:r>
        <w:t xml:space="preserve">. 2004;11(10):1–17.</w:t>
      </w:r>
      <w:r>
        <w:t xml:space="preserve"> </w:t>
      </w:r>
    </w:p>
    <w:bookmarkEnd w:id="120"/>
    <w:bookmarkStart w:id="122" w:name="ref-ZeileisKollGraham:2020"/>
    <w:p>
      <w:pPr>
        <w:pStyle w:val="Bibliography"/>
      </w:pPr>
      <w:r>
        <w:t xml:space="preserve">45.</w:t>
      </w:r>
      <w:r>
        <w:t xml:space="preserve"> </w:t>
      </w:r>
      <w:r>
        <w:t xml:space="preserve">	</w:t>
      </w:r>
      <w:r>
        <w:t xml:space="preserve">Zeileis A, Köll S, Graham N.</w:t>
      </w:r>
      <w:r>
        <w:t xml:space="preserve"> </w:t>
      </w:r>
      <w:hyperlink r:id="rId121">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
          <w:iCs/>
        </w:rPr>
        <w:t xml:space="preserve">Journal of Statistical Software</w:t>
      </w:r>
      <w:r>
        <w:t xml:space="preserve">. 2020;95(1):1–36.</w:t>
      </w:r>
      <w:r>
        <w:t xml:space="preserve"> </w:t>
      </w:r>
    </w:p>
    <w:bookmarkEnd w:id="122"/>
    <w:bookmarkStart w:id="124" w:name="ref-ZhaoChuHuang:2010"/>
    <w:p>
      <w:pPr>
        <w:pStyle w:val="Bibliography"/>
      </w:pPr>
      <w:r>
        <w:t xml:space="preserve">46.</w:t>
      </w:r>
      <w:r>
        <w:t xml:space="preserve"> </w:t>
      </w:r>
      <w:r>
        <w:t xml:space="preserve">	</w:t>
      </w:r>
      <w:r>
        <w:t xml:space="preserve">Zhao B, Chu Y, Huang Y, et al. Structure-dependent inhibition of human and rat 11β-hydroxysteroid dehydrogenase 2 activities by phthalates.</w:t>
      </w:r>
      <w:r>
        <w:t xml:space="preserve"> </w:t>
      </w:r>
      <w:r>
        <w:rPr>
          <w:i/>
          <w:iCs/>
        </w:rPr>
        <w:t xml:space="preserve">Chemico-Biological Interactions</w:t>
      </w:r>
      <w:r>
        <w:t xml:space="preserve"> </w:t>
      </w:r>
      <w:r>
        <w:t xml:space="preserve">[electronic article]. 2010;183(1):79–84. (</w:t>
      </w:r>
      <w:hyperlink r:id="rId123">
        <w:r>
          <w:rPr>
            <w:rStyle w:val="Hyperlink"/>
          </w:rPr>
          <w:t xml:space="preserve">https://www.sciencedirect.com/science/article/pii/S0009279709003950</w:t>
        </w:r>
      </w:hyperlink>
      <w:r>
        <w:t xml:space="preserve">). (Accessed February 13, 2024)</w:t>
      </w:r>
    </w:p>
    <w:bookmarkEnd w:id="124"/>
    <w:bookmarkStart w:id="126" w:name="ref-MaLianDong:2011"/>
    <w:p>
      <w:pPr>
        <w:pStyle w:val="Bibliography"/>
      </w:pPr>
      <w:r>
        <w:t xml:space="preserve">47.</w:t>
      </w:r>
      <w:r>
        <w:t xml:space="preserve"> </w:t>
      </w:r>
      <w:r>
        <w:t xml:space="preserve">	</w:t>
      </w:r>
      <w:r>
        <w:t xml:space="preserve">Ma X, Lian Q-Q, Dong Q, et al. Environmental inhibitors of 11β-hydroxysteroid dehydrogenase type 2.</w:t>
      </w:r>
      <w:r>
        <w:t xml:space="preserve"> </w:t>
      </w:r>
      <w:r>
        <w:rPr>
          <w:i/>
          <w:iCs/>
        </w:rPr>
        <w:t xml:space="preserve">Toxicology</w:t>
      </w:r>
      <w:r>
        <w:t xml:space="preserve"> </w:t>
      </w:r>
      <w:r>
        <w:t xml:space="preserve">[electronic article]. 2011;285(3):83–89. (</w:t>
      </w:r>
      <w:hyperlink r:id="rId125">
        <w:r>
          <w:rPr>
            <w:rStyle w:val="Hyperlink"/>
          </w:rPr>
          <w:t xml:space="preserve">https://www.sciencedirect.com/science/article/pii/S0300483X11001466</w:t>
        </w:r>
      </w:hyperlink>
      <w:r>
        <w:t xml:space="preserve">). (Accessed February 13, 2024)</w:t>
      </w:r>
    </w:p>
    <w:bookmarkEnd w:id="126"/>
    <w:bookmarkStart w:id="128" w:name="ref-PrasanthDivyaSadasivan:2010"/>
    <w:p>
      <w:pPr>
        <w:pStyle w:val="Bibliography"/>
      </w:pPr>
      <w:r>
        <w:t xml:space="preserve">48.</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w:t>
      </w:r>
      <w:r>
        <w:t xml:space="preserve">[electronic article]. 2010;30(8):769–774. (</w:t>
      </w:r>
      <w:hyperlink r:id="rId127">
        <w:r>
          <w:rPr>
            <w:rStyle w:val="Hyperlink"/>
          </w:rPr>
          <w:t xml:space="preserve">https://onlinelibrary.wiley.com/doi/abs/10.1002/jat.1570</w:t>
        </w:r>
      </w:hyperlink>
      <w:r>
        <w:t xml:space="preserve">). (Accessed February 13, 2024)</w:t>
      </w:r>
    </w:p>
    <w:bookmarkEnd w:id="128"/>
    <w:bookmarkStart w:id="130" w:name="ref-YangLiRen:2019"/>
    <w:p>
      <w:pPr>
        <w:pStyle w:val="Bibliography"/>
      </w:pPr>
      <w:r>
        <w:t xml:space="preserve">49.</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w:t>
      </w:r>
      <w:r>
        <w:t xml:space="preserve">[electronic article]. 2019;133:110759. (</w:t>
      </w:r>
      <w:hyperlink r:id="rId129">
        <w:r>
          <w:rPr>
            <w:rStyle w:val="Hyperlink"/>
          </w:rPr>
          <w:t xml:space="preserve">https://www.sciencedirect.com/science/article/pii/S0278691519305496</w:t>
        </w:r>
      </w:hyperlink>
      <w:r>
        <w:t xml:space="preserve">). (Accessed February 13, 2024)</w:t>
      </w:r>
    </w:p>
    <w:bookmarkEnd w:id="130"/>
    <w:bookmarkStart w:id="132" w:name="ref-PerrierGiorgis-AllemandSlama:2016"/>
    <w:p>
      <w:pPr>
        <w:pStyle w:val="Bibliography"/>
      </w:pPr>
      <w:r>
        <w:t xml:space="preserve">50.</w:t>
      </w:r>
      <w:r>
        <w:t xml:space="preserve"> </w:t>
      </w:r>
      <w:r>
        <w:t xml:space="preserve">	</w:t>
      </w:r>
      <w:r>
        <w:t xml:space="preserve">Perrier F, Giorgis-Allemand L, Slama R, et al.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w:t>
      </w:r>
      <w:r>
        <w:t xml:space="preserve">[electronic article]. 2016;27(3):378. (</w:t>
      </w:r>
      <w:hyperlink r:id="rId131">
        <w:r>
          <w:rPr>
            <w:rStyle w:val="Hyperlink"/>
          </w:rPr>
          <w:t xml:space="preserve">https://journals.lww.com/epidem/fulltext/2016/05000/within_subject_pooling_of_biological_samples_to.12.aspx</w:t>
        </w:r>
      </w:hyperlink>
      <w:r>
        <w:t xml:space="preserve">). (Accessed March 8, 2024)</w:t>
      </w:r>
    </w:p>
    <w:bookmarkEnd w:id="132"/>
    <w:bookmarkStart w:id="134" w:name="ref-CasasBasaganaSakhi:2018"/>
    <w:p>
      <w:pPr>
        <w:pStyle w:val="Bibliography"/>
      </w:pPr>
      <w:r>
        <w:t xml:space="preserve">51.</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w:t>
      </w:r>
      <w:r>
        <w:t xml:space="preserve">[electronic article]. 2018;121(Pt 1, Pt 1):561–573. (</w:t>
      </w:r>
      <w:hyperlink r:id="rId133">
        <w:r>
          <w:rPr>
            <w:rStyle w:val="Hyperlink"/>
          </w:rPr>
          <w:t xml:space="preserve">http://dx.doi.org/10.1016/j.envint.2018.09.046</w:t>
        </w:r>
      </w:hyperlink>
      <w:r>
        <w:t xml:space="preserve">)</w:t>
      </w:r>
    </w:p>
    <w:bookmarkEnd w:id="134"/>
    <w:bookmarkEnd w:id="135"/>
    <w:p>
      <w:r>
        <w:br w:type="page"/>
      </w:r>
    </w:p>
    <w:bookmarkEnd w:id="136"/>
    <w:bookmarkStart w:id="143" w:name="tables-for-descriptive-data"/>
    <w:p>
      <w:pPr>
        <w:pStyle w:val="Heading1"/>
      </w:pPr>
      <w:r>
        <w:t xml:space="preserve">Tables for descriptive data</w:t>
      </w:r>
    </w:p>
    <w:bookmarkStart w:id="138" w:name="study-populations"/>
    <w:p>
      <w:pPr>
        <w:pStyle w:val="Heading2"/>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37"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37"/>
        </w:tc>
      </w:tr>
    </w:tbl>
    <w:bookmarkEnd w:id="138"/>
    <w:bookmarkStart w:id="140" w:name="endocrine-disruptors"/>
    <w:p>
      <w:pPr>
        <w:pStyle w:val="Heading2"/>
      </w:pPr>
      <w:r>
        <w:t xml:space="preserve">Endocrine disruptors</w:t>
      </w:r>
    </w:p>
    <w:tbl>
      <w:tblPr>
        <w:tblStyle w:val="Table"/>
        <w:tblW w:type="pct" w:w="5000"/>
        <w:jc w:val="left"/>
        <w:tblLayout w:type="fixed"/>
        <w:tblLook w:firstRow="0" w:lastRow="0" w:firstColumn="0" w:lastColumn="0" w:noHBand="0" w:noVBand="0" w:val="0000"/>
      </w:tblPr>
      <w:tblGrid>
        <w:gridCol w:w="7920"/>
      </w:tblGrid>
      <w:tr>
        <w:tc>
          <w:tcPr/>
          <w:bookmarkStart w:id="139"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9"/>
        </w:tc>
      </w:tr>
    </w:tbl>
    <w:bookmarkEnd w:id="140"/>
    <w:bookmarkStart w:id="142" w:name="glucocorticosteroids"/>
    <w:p>
      <w:pPr>
        <w:pStyle w:val="Heading2"/>
      </w:pPr>
      <w:r>
        <w:t xml:space="preserve">Glucocorticosteroids</w:t>
      </w:r>
    </w:p>
    <w:tbl>
      <w:tblPr>
        <w:tblStyle w:val="Table"/>
        <w:tblW w:type="pct" w:w="5000"/>
        <w:jc w:val="left"/>
        <w:tblLayout w:type="fixed"/>
        <w:tblLook w:firstRow="0" w:lastRow="0" w:firstColumn="0" w:lastColumn="0" w:noHBand="0" w:noVBand="0" w:val="0000"/>
      </w:tblPr>
      <w:tblGrid>
        <w:gridCol w:w="7920"/>
      </w:tblGrid>
      <w:tr>
        <w:tc>
          <w:tcPr/>
          <w:bookmarkStart w:id="141"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41"/>
        </w:tc>
      </w:tr>
    </w:tbl>
    <w:bookmarkEnd w:id="142"/>
    <w:bookmarkEnd w:id="143"/>
    <w:bookmarkStart w:id="147" w:name="tables-for-other-analyses"/>
    <w:p>
      <w:pPr>
        <w:pStyle w:val="Heading1"/>
      </w:pPr>
      <w:r>
        <w:t xml:space="preserve">Tables for other analyses</w:t>
      </w:r>
    </w:p>
    <w:bookmarkStart w:id="146" w:name="Xfe21795c12cc91b54002b32d590cceab5746351"/>
    <w:p>
      <w:pPr>
        <w:pStyle w:val="Heading2"/>
      </w:pPr>
      <w:r>
        <w:t xml:space="preserve">Marginal hypotheses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144" w:name="tbl-hypothesis-1and2"/>
          <w:p>
            <w:pPr>
              <w:jc w:val="center"/>
            </w:pPr>
            <w:pPr>
              <w:jc w:val="start"/>
              <w:spacing w:before="200"/>
              <w:pStyle w:val="ImageCaption"/>
            </w:pPr>
            <w:r>
              <w:t xml:space="preserve">Table 4:</w:t>
            </w:r>
            <w:r>
              <w:t xml:space="preserve"> </w:t>
            </w:r>
            <w:r>
              <w:rPr>
                <w:b/>
                <w:bCs/>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(-0.312,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(-0.259,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(-0.298,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(-0.162,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4"/>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45" w:name="tbl-hypothesis-3"/>
          <w:p>
            <w:pPr>
              <w:jc w:val="center"/>
            </w:pPr>
            <w:pPr>
              <w:jc w:val="start"/>
              <w:spacing w:before="200"/>
              <w:pStyle w:val="ImageCaption"/>
            </w:pPr>
            <w:r>
              <w:t xml:space="preserve">Table 5:</w:t>
            </w:r>
            <w:r>
              <w:t xml:space="preserve"> </w:t>
            </w:r>
            <w:r>
              <w:rPr>
                <w:b/>
                <w:bCs/>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5"/>
        </w:tc>
      </w:tr>
    </w:tbl>
    <w:p>
      <w:r>
        <w:br w:type="page"/>
      </w:r>
    </w:p>
    <w:bookmarkEnd w:id="146"/>
    <w:bookmarkEnd w:id="147"/>
    <w:bookmarkStart w:id="161" w:name="figures-for-main-results"/>
    <w:p>
      <w:pPr>
        <w:pStyle w:val="Heading1"/>
      </w:pPr>
      <w:r>
        <w:t xml:space="preserve">Figures for main results</w:t>
      </w:r>
    </w:p>
    <w:bookmarkStart w:id="160" w:name="marginal-contrasts"/>
    <w:p>
      <w:pPr>
        <w:pStyle w:val="Heading2"/>
      </w:pPr>
      <w:r>
        <w:t xml:space="preserve">Marginal contrasts</w:t>
      </w:r>
    </w:p>
    <w:tbl>
      <w:tblPr>
        <w:tblStyle w:val="Table"/>
        <w:tblW w:type="pct" w:w="5000"/>
        <w:jc w:val="left"/>
        <w:tblLayout w:type="fixed"/>
        <w:tblLook w:firstRow="0" w:lastRow="0" w:firstColumn="0" w:lastColumn="0" w:noHBand="0" w:noVBand="0" w:val="0000"/>
      </w:tblPr>
      <w:tblGrid>
        <w:gridCol w:w="7920"/>
      </w:tblGrid>
      <w:tr>
        <w:tc>
          <w:tcPr/>
          <w:bookmarkStart w:id="151" w:name="fig-marginal-1"/>
          <w:p>
            <w:pPr>
              <w:jc w:val="center"/>
            </w:pPr>
            <w:r>
              <w:drawing>
                <wp:inline>
                  <wp:extent cx="5334000" cy="5926666"/>
                  <wp:effectExtent b="0" l="0" r="0" t="0"/>
                  <wp:docPr descr="" title="" id="149" name="Picture"/>
                  <a:graphic>
                    <a:graphicData uri="http://schemas.openxmlformats.org/drawingml/2006/picture">
                      <pic:pic>
                        <pic:nvPicPr>
                          <pic:cNvPr descr="manuscript_files/figure-docx/marginal-1-1.png" id="150" name="Picture"/>
                          <pic:cNvPicPr>
                            <a:picLocks noChangeArrowheads="1" noChangeAspect="1"/>
                          </pic:cNvPicPr>
                        </pic:nvPicPr>
                        <pic:blipFill>
                          <a:blip r:embed="rId148"/>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1"/>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55" w:name="fig-marginal-2"/>
          <w:p>
            <w:pPr>
              <w:jc w:val="center"/>
            </w:pPr>
            <w:r>
              <w:drawing>
                <wp:inline>
                  <wp:extent cx="5334000" cy="7112000"/>
                  <wp:effectExtent b="0" l="0" r="0" t="0"/>
                  <wp:docPr descr="" title="" id="153" name="Picture"/>
                  <a:graphic>
                    <a:graphicData uri="http://schemas.openxmlformats.org/drawingml/2006/picture">
                      <pic:pic>
                        <pic:nvPicPr>
                          <pic:cNvPr descr="manuscript_files/figure-docx/marginal-2-1.png" id="154" name="Picture"/>
                          <pic:cNvPicPr>
                            <a:picLocks noChangeArrowheads="1" noChangeAspect="1"/>
                          </pic:cNvPicPr>
                        </pic:nvPicPr>
                        <pic:blipFill>
                          <a:blip r:embed="rId15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5"/>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59" w:name="fig-marginal-3"/>
          <w:p>
            <w:pPr>
              <w:jc w:val="center"/>
            </w:pPr>
            <w:r>
              <w:drawing>
                <wp:inline>
                  <wp:extent cx="5334000" cy="2963333"/>
                  <wp:effectExtent b="0" l="0" r="0" t="0"/>
                  <wp:docPr descr="" title="" id="157" name="Picture"/>
                  <a:graphic>
                    <a:graphicData uri="http://schemas.openxmlformats.org/drawingml/2006/picture">
                      <pic:pic>
                        <pic:nvPicPr>
                          <pic:cNvPr descr="manuscript_files/figure-docx/marginal-3-1.png" id="158" name="Picture"/>
                          <pic:cNvPicPr>
                            <a:picLocks noChangeArrowheads="1" noChangeAspect="1"/>
                          </pic:cNvPicPr>
                        </pic:nvPicPr>
                        <pic:blipFill>
                          <a:blip r:embed="rId156"/>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Abbreviations: cortisone production (cortisone prod.); cortisol production (cortisol prod.); corticost. prod. (corticosterone production).</w:t>
            </w:r>
          </w:p>
          <w:bookmarkEnd w:id="159"/>
        </w:tc>
      </w:tr>
    </w:tbl>
    <w:p>
      <w:r>
        <w:br w:type="page"/>
      </w:r>
    </w:p>
    <w:bookmarkEnd w:id="160"/>
    <w:bookmarkEnd w:id="161"/>
    <w:bookmarkStart w:id="163" w:name="supplementary-information"/>
    <w:p>
      <w:pPr>
        <w:pStyle w:val="Heading1"/>
      </w:pPr>
      <w:r>
        <w:t xml:space="preserve">Supplementary information</w:t>
      </w:r>
    </w:p>
    <w:bookmarkStart w:id="162"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2"/>
    <w:bookmarkEnd w:id="163"/>
    <w:bookmarkStart w:id="193" w:name="supplementary-tables"/>
    <w:p>
      <w:pPr>
        <w:pStyle w:val="Heading1"/>
      </w:pPr>
      <w:r>
        <w:t xml:space="preserve">Supplementary tables</w:t>
      </w:r>
    </w:p>
    <w:bookmarkStart w:id="178" w:name="tables-for-descriptive-data-1"/>
    <w:p>
      <w:pPr>
        <w:pStyle w:val="Heading2"/>
      </w:pPr>
      <w:r>
        <w:t xml:space="preserve">Tables for descriptive data</w:t>
      </w:r>
    </w:p>
    <w:bookmarkStart w:id="165" w:name="X3dd11f121b94bf83edf631b791707ae3059cce5"/>
    <w:p>
      <w:pPr>
        <w:pStyle w:val="Heading3"/>
      </w:pPr>
      <w:r>
        <w:t xml:space="preserve">Information about the endocrine disruptors</w:t>
      </w:r>
    </w:p>
    <w:tbl>
      <w:tblPr>
        <w:tblStyle w:val="Table"/>
        <w:tblW w:type="pct" w:w="5000"/>
        <w:jc w:val="left"/>
        <w:tblLayout w:type="fixed"/>
        <w:tblLook w:firstRow="0" w:lastRow="0" w:firstColumn="0" w:lastColumn="0" w:noHBand="0" w:noVBand="0" w:val="0000"/>
      </w:tblPr>
      <w:tblGrid>
        <w:gridCol w:w="7920"/>
      </w:tblGrid>
      <w:tr>
        <w:tc>
          <w:tcPr/>
          <w:bookmarkStart w:id="164"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EDCs, including the full compound name, the standard symbol, the used variable name, the identifier from PubChem, and the parental compound.</w:t>
            </w:r>
          </w:p>
          <w:bookmarkEnd w:id="164"/>
        </w:tc>
      </w:tr>
    </w:tbl>
    <w:bookmarkEnd w:id="165"/>
    <w:bookmarkStart w:id="167" w:name="X27d21f98094cbb07d979ff676e2d01ea8aceb5f"/>
    <w:p>
      <w:pPr>
        <w:pStyle w:val="Heading3"/>
      </w:pPr>
      <w:r>
        <w:t xml:space="preserve">Information about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66"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66"/>
        </w:tc>
      </w:tr>
    </w:tbl>
    <w:bookmarkEnd w:id="167"/>
    <w:bookmarkStart w:id="171" w:name="codebooks"/>
    <w:p>
      <w:pPr>
        <w:pStyle w:val="Heading3"/>
      </w:pPr>
      <w:r>
        <w:t xml:space="preserve">Codebooks</w:t>
      </w:r>
    </w:p>
    <w:tbl>
      <w:tblPr>
        <w:tblStyle w:val="Table"/>
        <w:tblW w:type="pct" w:w="5000"/>
        <w:jc w:val="left"/>
        <w:tblLayout w:type="fixed"/>
        <w:tblLook w:firstRow="0" w:lastRow="0" w:firstColumn="0" w:lastColumn="0" w:noHBand="0" w:noVBand="0" w:val="0000"/>
      </w:tblPr>
      <w:tblGrid>
        <w:gridCol w:w="7920"/>
      </w:tblGrid>
      <w:tr>
        <w:tc>
          <w:tcPr/>
          <w:bookmarkStart w:id="168"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EDCs on HRT-SE.</w:t>
            </w:r>
          </w:p>
          <w:bookmarkEnd w:id="16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9"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S4:</w:t>
            </w:r>
            <w:r>
              <w:t xml:space="preserve"> </w:t>
            </w:r>
            <w:r>
              <w:rPr>
                <w:b/>
                <w:bCs/>
              </w:rPr>
              <w:t xml:space="preserve">Codebook for the covariates used in the estimation of the marginal comparisons of EDCs on the glucocorticosteroids.</w:t>
            </w:r>
          </w:p>
          <w:bookmarkEnd w:id="16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0"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S5:</w:t>
            </w:r>
            <w:r>
              <w:t xml:space="preserve"> </w:t>
            </w:r>
            <w:r>
              <w:rPr>
                <w:b/>
                <w:bCs/>
              </w:rPr>
              <w:t xml:space="preserve">Codebook for the covariates used in the estimation of the marginal comparisons of the glucocorticosteroids on HRT-SE.</w:t>
            </w:r>
          </w:p>
          <w:bookmarkEnd w:id="170"/>
        </w:tc>
      </w:tr>
    </w:tbl>
    <w:bookmarkEnd w:id="171"/>
    <w:bookmarkStart w:id="173" w:name="X1648560fc56530d4d9e363e88afe88d93501164"/>
    <w:p>
      <w:pPr>
        <w:pStyle w:val="Heading3"/>
      </w:pPr>
      <w:r>
        <w:t xml:space="preserve">Lower limits of quantification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72"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S6:</w:t>
            </w:r>
            <w:r>
              <w:t xml:space="preserve"> </w:t>
            </w:r>
            <w:r>
              <w:rPr>
                <w:b/>
                <w:bCs/>
              </w:rPr>
              <w:t xml:space="preserve">Lower limits of quantification expressed in ng/ml for the glucocorticosteroids (HELIX subcohort; 2013-2016).</w:t>
            </w:r>
          </w:p>
          <w:bookmarkEnd w:id="172"/>
        </w:tc>
      </w:tr>
    </w:tbl>
    <w:bookmarkEnd w:id="173"/>
    <w:bookmarkStart w:id="175" w:name="study-populations-1"/>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74"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S7:</w:t>
            </w:r>
            <w:r>
              <w:t xml:space="preserve"> </w:t>
            </w:r>
            <w:r>
              <w:rPr>
                <w:b/>
                <w:bCs/>
              </w:rPr>
              <w:t xml:space="preserve">Participant characteristics, by cohort and overall (HELIX subcohort; 2013-2016).</w:t>
            </w:r>
          </w:p>
          <w:bookmarkEnd w:id="174"/>
        </w:tc>
      </w:tr>
    </w:tbl>
    <w:bookmarkEnd w:id="175"/>
    <w:bookmarkStart w:id="177" w:name="Xcb6196f128f6cc86878aba684850c2c40bb135f"/>
    <w:p>
      <w:pPr>
        <w:pStyle w:val="Heading3"/>
      </w:pPr>
      <w:r>
        <w:t xml:space="preserve">Concentrations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76"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S8:</w:t>
            </w:r>
            <w:r>
              <w:t xml:space="preserve"> </w:t>
            </w:r>
            <w:r>
              <w:rPr>
                <w:b/>
                <w:bCs/>
              </w:rPr>
              <w:t xml:space="preserve">Participants glucocorticosteroids concentrations, by cohort and overall (HELIX subcohort; 2013-2016).</w:t>
            </w:r>
          </w:p>
          <w:bookmarkEnd w:id="176"/>
        </w:tc>
      </w:tr>
    </w:tbl>
    <w:bookmarkEnd w:id="177"/>
    <w:bookmarkEnd w:id="178"/>
    <w:bookmarkStart w:id="187" w:name="tables-for-main-results"/>
    <w:p>
      <w:pPr>
        <w:pStyle w:val="Heading2"/>
      </w:pPr>
      <w:r>
        <w:t xml:space="preserve">Tables for main results</w:t>
      </w:r>
    </w:p>
    <w:bookmarkStart w:id="182" w:name="balancing-weights-sample-sizes"/>
    <w:p>
      <w:pPr>
        <w:pStyle w:val="Heading3"/>
      </w:pPr>
      <w:r>
        <w:t xml:space="preserve">Balancing weights: sample sizes</w:t>
      </w:r>
    </w:p>
    <w:tbl>
      <w:tblPr>
        <w:tblStyle w:val="Table"/>
        <w:tblW w:type="pct" w:w="5000"/>
        <w:jc w:val="left"/>
        <w:tblLayout w:type="fixed"/>
        <w:tblLook w:firstRow="0" w:lastRow="0" w:firstColumn="0" w:lastColumn="0" w:noHBand="0" w:noVBand="0" w:val="0000"/>
      </w:tblPr>
      <w:tblGrid>
        <w:gridCol w:w="7920"/>
      </w:tblGrid>
      <w:tr>
        <w:tc>
          <w:tcPr/>
          <w:bookmarkStart w:id="179"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EDCs; outcome: HRT-SE) (HELIX subcohort; 2013-2016).</w:t>
            </w:r>
          </w:p>
          <w:bookmarkEnd w:id="17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0"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EDCs; outcomes: glucocorticosteroids) (HELIX subcohort; 2013-2016).</w:t>
            </w:r>
          </w:p>
          <w:bookmarkEnd w:id="180"/>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1"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Effective sample size before and after balancing weights estimation (exposures: glucocorticosteroids; outcome: HRT-SE) (HELIX subcohort; 2013-2016).</w:t>
            </w:r>
          </w:p>
          <w:bookmarkEnd w:id="181"/>
        </w:tc>
      </w:tr>
    </w:tbl>
    <w:bookmarkEnd w:id="182"/>
    <w:bookmarkStart w:id="186" w:name="balancing-weights-summary-statistics"/>
    <w:p>
      <w:pPr>
        <w:pStyle w:val="Heading3"/>
      </w:pPr>
      <w:r>
        <w:t xml:space="preserve">Balancing weights: summary statistics</w:t>
      </w:r>
    </w:p>
    <w:tbl>
      <w:tblPr>
        <w:tblStyle w:val="Table"/>
        <w:tblW w:type="pct" w:w="5000"/>
        <w:jc w:val="left"/>
        <w:tblLayout w:type="fixed"/>
        <w:tblLook w:firstRow="0" w:lastRow="0" w:firstColumn="0" w:lastColumn="0" w:noHBand="0" w:noVBand="0" w:val="0000"/>
      </w:tblPr>
      <w:tblGrid>
        <w:gridCol w:w="7920"/>
      </w:tblGrid>
      <w:tr>
        <w:tc>
          <w:tcPr/>
          <w:bookmarkStart w:id="183"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2143289344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EDCs; outcome: HRT-SE) (HELIX subcohort; 2013-2016).</w:t>
            </w:r>
          </w:p>
          <w:bookmarkEnd w:id="18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4"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EDCs; outcomes: glucocorticosteroids) (HELIX subcohort; 2013-2016).</w:t>
            </w:r>
          </w:p>
          <w:bookmarkEnd w:id="184"/>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5"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(exposures: glucocorticosteroids; outcome: HRT-SE) (HELIX subcohort; 2013-2016).</w:t>
            </w:r>
          </w:p>
          <w:bookmarkEnd w:id="185"/>
        </w:tc>
      </w:tr>
    </w:tbl>
    <w:bookmarkEnd w:id="186"/>
    <w:bookmarkEnd w:id="187"/>
    <w:bookmarkStart w:id="192" w:name="tables-for-other-results"/>
    <w:p>
      <w:pPr>
        <w:pStyle w:val="Heading2"/>
      </w:pPr>
      <w:r>
        <w:t xml:space="preserve">Tables for other results</w:t>
      </w:r>
    </w:p>
    <w:bookmarkStart w:id="191" w:name="X3feb8d4de640dcb7c28adcb0ef65dd3ddb7cb7d"/>
    <w:p>
      <w:pPr>
        <w:pStyle w:val="Heading3"/>
      </w:pPr>
      <w:r>
        <w:t xml:space="preserve">Balancing weights for effect modification: summary statistics</w:t>
      </w:r>
    </w:p>
    <w:tbl>
      <w:tblPr>
        <w:tblStyle w:val="Table"/>
        <w:tblW w:type="pct" w:w="5000"/>
        <w:jc w:val="left"/>
        <w:tblLayout w:type="fixed"/>
        <w:tblLook w:firstRow="0" w:lastRow="0" w:firstColumn="0" w:lastColumn="0" w:noHBand="0" w:noVBand="0" w:val="0000"/>
      </w:tblPr>
      <w:tblGrid>
        <w:gridCol w:w="7920"/>
      </w:tblGrid>
      <w:tr>
        <w:tc>
          <w:tcPr/>
          <w:bookmarkStart w:id="188"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EDCs; outcome: HRT-SE; modifier: sex) (HELIX subcohort; 2013-2016).</w:t>
            </w:r>
          </w:p>
          <w:bookmarkEnd w:id="18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9"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EDCs; outcomes: glucocorticosteroids; modifier: sex) (HELIX subcohort; 2013-2016).</w:t>
            </w:r>
          </w:p>
          <w:bookmarkEnd w:id="18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0"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
                <w:bCs/>
              </w:rPr>
              <w:t xml:space="preserve">Summary statistics of the estimated balancing weights for effect modification (exposures: glucocorticosteroids; outcome: HRT-SE; modifier: sex) (HELIX subcohort; 2013-2016).</w:t>
            </w:r>
          </w:p>
          <w:bookmarkEnd w:id="190"/>
        </w:tc>
      </w:tr>
    </w:tbl>
    <w:bookmarkEnd w:id="191"/>
    <w:bookmarkEnd w:id="192"/>
    <w:bookmarkEnd w:id="193"/>
    <w:bookmarkStart w:id="224" w:name="supplementary-figures"/>
    <w:p>
      <w:pPr>
        <w:pStyle w:val="Heading1"/>
      </w:pPr>
      <w:r>
        <w:t xml:space="preserve">Supplementary figures</w:t>
      </w:r>
    </w:p>
    <w:bookmarkStart w:id="209" w:name="figures-for-descriptive-data"/>
    <w:p>
      <w:pPr>
        <w:pStyle w:val="Heading2"/>
      </w:pPr>
      <w:r>
        <w:t xml:space="preserve">Figures for descriptive data</w:t>
      </w:r>
    </w:p>
    <w:bookmarkStart w:id="198" w:name="study-populations-2"/>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97" w:name="suppfig-flow-pop"/>
          <w:p>
            <w:pPr>
              <w:jc w:val="center"/>
            </w:pPr>
          </w:p>
          <w:p>
            <w:pPr>
              <w:jc w:val="center"/>
            </w:pPr>
            <w:r>
              <w:drawing>
                <wp:inline>
                  <wp:extent cx="5111496" cy="3419856"/>
                  <wp:effectExtent b="0" l="0" r="0" t="0"/>
                  <wp:docPr descr="" title="" id="195" name="Picture"/>
                  <a:graphic>
                    <a:graphicData uri="http://schemas.openxmlformats.org/drawingml/2006/picture">
                      <pic:pic>
                        <pic:nvPicPr>
                          <pic:cNvPr descr="manuscript_files/figure-docx/mermaid-figure-1.png" id="196" name="Picture"/>
                          <pic:cNvPicPr>
                            <a:picLocks noChangeArrowheads="1" noChangeAspect="1"/>
                          </pic:cNvPicPr>
                        </pic:nvPicPr>
                        <pic:blipFill>
                          <a:blip r:embed="rId194"/>
                          <a:stretch>
                            <a:fillRect/>
                          </a:stretch>
                        </pic:blipFill>
                        <pic:spPr bwMode="auto">
                          <a:xfrm>
                            <a:off x="0" y="0"/>
                            <a:ext cx="5111496" cy="3419856"/>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197"/>
        </w:tc>
      </w:tr>
    </w:tbl>
    <w:bookmarkEnd w:id="198"/>
    <w:bookmarkStart w:id="203" w:name="description-of-endocrine-disruptors"/>
    <w:p>
      <w:pPr>
        <w:pStyle w:val="Heading3"/>
      </w:pPr>
      <w:r>
        <w:t xml:space="preserve">Description of endocrine disruptors</w:t>
      </w:r>
    </w:p>
    <w:tbl>
      <w:tblPr>
        <w:tblStyle w:val="Table"/>
        <w:tblW w:type="pct" w:w="5000"/>
        <w:jc w:val="left"/>
        <w:tblLayout w:type="fixed"/>
        <w:tblLook w:firstRow="0" w:lastRow="0" w:firstColumn="0" w:lastColumn="0" w:noHBand="0" w:noVBand="0" w:val="0000"/>
      </w:tblPr>
      <w:tblGrid>
        <w:gridCol w:w="7920"/>
      </w:tblGrid>
      <w:tr>
        <w:tc>
          <w:tcPr/>
          <w:bookmarkStart w:id="202" w:name="suppfig-desc-chems"/>
          <w:p>
            <w:pPr>
              <w:jc w:val="center"/>
            </w:pPr>
            <w:r>
              <w:drawing>
                <wp:inline>
                  <wp:extent cx="5334000" cy="6223000"/>
                  <wp:effectExtent b="0" l="0" r="0" t="0"/>
                  <wp:docPr descr="" title="" id="200" name="Picture"/>
                  <a:graphic>
                    <a:graphicData uri="http://schemas.openxmlformats.org/drawingml/2006/picture">
                      <pic:pic>
                        <pic:nvPicPr>
                          <pic:cNvPr descr="manuscript_files/figure-docx/desc-chems-lod-1.png" id="201" name="Picture"/>
                          <pic:cNvPicPr>
                            <a:picLocks noChangeArrowheads="1" noChangeAspect="1"/>
                          </pic:cNvPicPr>
                        </pic:nvPicPr>
                        <pic:blipFill>
                          <a:blip r:embed="rId199"/>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EDCs, by cohort (HELIX subcohort; 2013-2016).</w:t>
            </w:r>
            <w:r>
              <w:t xml:space="preserve"> </w:t>
            </w:r>
            <w:r>
              <w:t xml:space="preserve">Coding: 1, quantifiable; 2, &lt;LOD; 3, interference or out of range; 4. not analysed.</w:t>
            </w:r>
          </w:p>
          <w:bookmarkEnd w:id="202"/>
        </w:tc>
      </w:tr>
    </w:tbl>
    <w:bookmarkEnd w:id="203"/>
    <w:bookmarkStart w:id="208" w:name="description-of-glucocorticosteroids"/>
    <w:p>
      <w:pPr>
        <w:pStyle w:val="Heading3"/>
      </w:pPr>
      <w:r>
        <w:t xml:space="preserve">Description of glucocorticosteroids</w:t>
      </w:r>
    </w:p>
    <w:tbl>
      <w:tblPr>
        <w:tblStyle w:val="Table"/>
        <w:tblW w:type="pct" w:w="5000"/>
        <w:jc w:val="left"/>
        <w:tblLayout w:type="fixed"/>
        <w:tblLook w:firstRow="0" w:lastRow="0" w:firstColumn="0" w:lastColumn="0" w:noHBand="0" w:noVBand="0" w:val="0000"/>
      </w:tblPr>
      <w:tblGrid>
        <w:gridCol w:w="7920"/>
      </w:tblGrid>
      <w:tr>
        <w:tc>
          <w:tcPr/>
          <w:bookmarkStart w:id="207" w:name="suppfig-desc-mets"/>
          <w:p>
            <w:pPr>
              <w:jc w:val="center"/>
            </w:pPr>
            <w:r>
              <w:drawing>
                <wp:inline>
                  <wp:extent cx="5334000" cy="6223000"/>
                  <wp:effectExtent b="0" l="0" r="0" t="0"/>
                  <wp:docPr descr="" title="" id="205" name="Picture"/>
                  <a:graphic>
                    <a:graphicData uri="http://schemas.openxmlformats.org/drawingml/2006/picture">
                      <pic:pic>
                        <pic:nvPicPr>
                          <pic:cNvPr descr="manuscript_files/figure-docx/desc-mets-lod-1.png" id="206" name="Picture"/>
                          <pic:cNvPicPr>
                            <a:picLocks noChangeArrowheads="1" noChangeAspect="1"/>
                          </pic:cNvPicPr>
                        </pic:nvPicPr>
                        <pic:blipFill>
                          <a:blip r:embed="rId204"/>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07"/>
        </w:tc>
      </w:tr>
    </w:tbl>
    <w:bookmarkEnd w:id="208"/>
    <w:bookmarkEnd w:id="209"/>
    <w:bookmarkStart w:id="223" w:name="figures-for-other-results"/>
    <w:p>
      <w:pPr>
        <w:pStyle w:val="Heading2"/>
      </w:pPr>
      <w:r>
        <w:t xml:space="preserve">Figures for other results</w:t>
      </w:r>
    </w:p>
    <w:bookmarkStart w:id="222" w:name="X0effc2a5a10272e84becf53856373ad8fc9d66f"/>
    <w:p>
      <w:pPr>
        <w:pStyle w:val="Heading3"/>
      </w:pPr>
      <w:r>
        <w:t xml:space="preserve">Marginal contrasts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213" w:name="suppfig-marginal-1sa"/>
          <w:p>
            <w:pPr>
              <w:jc w:val="center"/>
            </w:pPr>
            <w:r>
              <w:drawing>
                <wp:inline>
                  <wp:extent cx="5334000" cy="6223000"/>
                  <wp:effectExtent b="0" l="0" r="0" t="0"/>
                  <wp:docPr descr="" title="" id="211" name="Picture"/>
                  <a:graphic>
                    <a:graphicData uri="http://schemas.openxmlformats.org/drawingml/2006/picture">
                      <pic:pic>
                        <pic:nvPicPr>
                          <pic:cNvPr descr="manuscript_files/figure-docx/marginal-1sa-1.png" id="212" name="Picture"/>
                          <pic:cNvPicPr>
                            <a:picLocks noChangeArrowheads="1" noChangeAspect="1"/>
                          </pic:cNvPicPr>
                        </pic:nvPicPr>
                        <pic:blipFill>
                          <a:blip r:embed="rId210"/>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17" w:name="suppfig-marginal-2sa"/>
          <w:p>
            <w:pPr>
              <w:jc w:val="center"/>
            </w:pPr>
            <w:r>
              <w:drawing>
                <wp:inline>
                  <wp:extent cx="5334000" cy="7112000"/>
                  <wp:effectExtent b="0" l="0" r="0" t="0"/>
                  <wp:docPr descr="" title="" id="215" name="Picture"/>
                  <a:graphic>
                    <a:graphicData uri="http://schemas.openxmlformats.org/drawingml/2006/picture">
                      <pic:pic>
                        <pic:nvPicPr>
                          <pic:cNvPr descr="manuscript_files/figure-docx/marginal-2sa-1.png" id="216" name="Picture"/>
                          <pic:cNvPicPr>
                            <a:picLocks noChangeArrowheads="1" noChangeAspect="1"/>
                          </pic:cNvPicPr>
                        </pic:nvPicPr>
                        <pic:blipFill>
                          <a:blip r:embed="rId214"/>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21" w:name="suppfig-marginal-3sa"/>
          <w:p>
            <w:pPr>
              <w:jc w:val="center"/>
            </w:pPr>
            <w:r>
              <w:drawing>
                <wp:inline>
                  <wp:extent cx="5334000" cy="4445000"/>
                  <wp:effectExtent b="0" l="0" r="0" t="0"/>
                  <wp:docPr descr="" title="" id="219" name="Picture"/>
                  <a:graphic>
                    <a:graphicData uri="http://schemas.openxmlformats.org/drawingml/2006/picture">
                      <pic:pic>
                        <pic:nvPicPr>
                          <pic:cNvPr descr="manuscript_files/figure-docx/marginal-3sa-1.png" id="220" name="Picture"/>
                          <pic:cNvPicPr>
                            <a:picLocks noChangeArrowheads="1" noChangeAspect="1"/>
                          </pic:cNvPicPr>
                        </pic:nvPicPr>
                        <pic:blipFill>
                          <a:blip r:embed="rId21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for effect modification by sex of a decrease from the 90th to the 10th percentile of the glucocorticosteroids on HRT-SE expressed in ms</w:t>
            </w:r>
            <w:r>
              <w:rPr>
                <w:b/>
                <w:bCs/>
              </w:rPr>
              <w:t xml:space="preserve"> </w:t>
            </w:r>
            <w:r>
              <w:rPr>
                <w:b/>
                <w:bCs/>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Abbreviations: cortisone production (cortisone prod.); cortisol production (cortisol prod.); corticost. prod. (corticosterone production).</w:t>
            </w:r>
          </w:p>
          <w:bookmarkEnd w:id="221"/>
        </w:tc>
      </w:tr>
    </w:tbl>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9" Target="media/rId199.png" /><Relationship Type="http://schemas.openxmlformats.org/officeDocument/2006/relationships/image" Id="rId204" Target="media/rId204.png" /><Relationship Type="http://schemas.openxmlformats.org/officeDocument/2006/relationships/image" Id="rId148" Target="media/rId148.png" /><Relationship Type="http://schemas.openxmlformats.org/officeDocument/2006/relationships/image" Id="rId210" Target="media/rId210.png" /><Relationship Type="http://schemas.openxmlformats.org/officeDocument/2006/relationships/image" Id="rId152" Target="media/rId152.png" /><Relationship Type="http://schemas.openxmlformats.org/officeDocument/2006/relationships/image" Id="rId214" Target="media/rId214.png" /><Relationship Type="http://schemas.openxmlformats.org/officeDocument/2006/relationships/image" Id="rId156" Target="media/rId156.png" /><Relationship Type="http://schemas.openxmlformats.org/officeDocument/2006/relationships/image" Id="rId218" Target="media/rId218.png" /><Relationship Type="http://schemas.openxmlformats.org/officeDocument/2006/relationships/image" Id="rId194" Target="media/rId194.png" /><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1"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27"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3"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29" Target="https://www.sciencedirect.com/science/article/pii/S0278691519305496" TargetMode="External" /><Relationship Type="http://schemas.openxmlformats.org/officeDocument/2006/relationships/hyperlink" Id="rId125"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_rels/footnotes.xml.rels><?xml version="1.0" encoding="UTF-8"?><Relationships xmlns="http://schemas.openxmlformats.org/package/2006/relationships"><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1"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27"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3"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29" Target="https://www.sciencedirect.com/science/article/pii/S0278691519305496" TargetMode="External" /><Relationship Type="http://schemas.openxmlformats.org/officeDocument/2006/relationships/hyperlink" Id="rId125"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2024-03-08T10:55:24Z</dcterms:created>
  <dcterms:modified xsi:type="dcterms:W3CDTF">2024-03-08T10:55:24Z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