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Fancy</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r>
        <w:br w:type="page"/>
      </w:r>
    </w:p>
    <w:p>
      <w:pPr>
        <w:numPr>
          <w:ilvl w:val="0"/>
          <w:numId w:val="1001"/>
        </w:numPr>
        <w:pStyle w:val="Compact"/>
      </w:pPr>
      <w:r>
        <w:t xml:space="preserve">The title should be less or equal than 300 characters. It should indicate the study design, the subject of the paper, information regarding exposures and outcomes assessed, and whether the study was observational or experimental.</w:t>
      </w:r>
    </w:p>
    <w:p>
      <w:pPr>
        <w:numPr>
          <w:ilvl w:val="0"/>
          <w:numId w:val="1001"/>
        </w:numPr>
        <w:pStyle w:val="Compact"/>
      </w:pPr>
      <w:r>
        <w:t xml:space="preserve">The suggested length of the abstract is less or equal than 300 words.</w:t>
      </w:r>
    </w:p>
    <w:p>
      <w:pPr>
        <w:numPr>
          <w:ilvl w:val="0"/>
          <w:numId w:val="1001"/>
        </w:numPr>
        <w:pStyle w:val="Compact"/>
      </w:pPr>
      <w:r>
        <w:t xml:space="preserve">The suggested length is &lt;7,000 words, excluding abstract, references, tables, figure captions, acknowledgments, and Supplementary Material.</w:t>
      </w:r>
    </w:p>
    <w:p>
      <w:pPr>
        <w:numPr>
          <w:ilvl w:val="1"/>
          <w:numId w:val="1002"/>
        </w:numPr>
        <w:pStyle w:val="Compact"/>
      </w:pPr>
      <w:r>
        <w:t xml:space="preserve">Concise sub-headings should be less or equal than 8 words, and they should be used to organize information rather than summarize the results.</w:t>
      </w:r>
    </w:p>
    <w:p>
      <w:pPr>
        <w:numPr>
          <w:ilvl w:val="1"/>
          <w:numId w:val="1002"/>
        </w:numPr>
        <w:pStyle w:val="Compact"/>
      </w:pPr>
      <w:r>
        <w:t xml:space="preserve">In-text citations with superscript numbers: outside periods and commas, but inside colons and semicolons.</w:t>
      </w:r>
    </w:p>
    <w:bookmarkEnd w:id="21"/>
    <w:bookmarkStart w:id="24" w:name="sec-intro"/>
    <w:p>
      <w:pPr>
        <w:pStyle w:val="Heading1"/>
      </w:pPr>
      <w:r>
        <w:t xml:space="preserve">Introduction</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8" w:name="sec-methods"/>
    <w:p>
      <w:pPr>
        <w:pStyle w:val="Heading1"/>
      </w:pPr>
      <w:r>
        <w:t xml:space="preserve">Methods</w:t>
      </w:r>
    </w:p>
    <w:bookmarkStart w:id="25" w:name="sec-design"/>
    <w:p>
      <w:pPr>
        <w:pStyle w:val="Heading2"/>
      </w:pPr>
      <w:r>
        <w:t xml:space="preserve">Study design</w:t>
      </w:r>
    </w:p>
    <w:p>
      <w:pPr>
        <w:numPr>
          <w:ilvl w:val="0"/>
          <w:numId w:val="1007"/>
        </w:numPr>
        <w:pStyle w:val="Compact"/>
      </w:pPr>
      <w:r>
        <w:t xml:space="preserve">Present key elements of study design</w:t>
      </w:r>
    </w:p>
    <w:bookmarkEnd w:id="25"/>
    <w:bookmarkStart w:id="26" w:name="sec-setting"/>
    <w:p>
      <w:pPr>
        <w:pStyle w:val="Heading2"/>
      </w:pPr>
      <w:r>
        <w:t xml:space="preserve">Setting</w:t>
      </w:r>
    </w:p>
    <w:p>
      <w:pPr>
        <w:numPr>
          <w:ilvl w:val="0"/>
          <w:numId w:val="1008"/>
        </w:numPr>
        <w:pStyle w:val="Compact"/>
      </w:pPr>
      <w:r>
        <w:t xml:space="preserve">Describe the setting, locations, and relevant dates, including periods of recruitment, exposure, follow-up, and data collection.</w:t>
      </w:r>
    </w:p>
    <w:bookmarkEnd w:id="26"/>
    <w:bookmarkStart w:id="27" w:name="sec-participants"/>
    <w:p>
      <w:pPr>
        <w:pStyle w:val="Heading2"/>
      </w:pPr>
      <w:r>
        <w:t xml:space="preserve">Participants</w:t>
      </w:r>
    </w:p>
    <w:p>
      <w:pPr>
        <w:numPr>
          <w:ilvl w:val="0"/>
          <w:numId w:val="1009"/>
        </w:numPr>
        <w:pStyle w:val="Compact"/>
      </w:pPr>
      <w:r>
        <w:t xml:space="preserve">Cohort study: eligibility criteria, and the sources and methods of selection of participants. Describe methods of follow-up.</w:t>
      </w:r>
    </w:p>
    <w:p>
      <w:pPr>
        <w:numPr>
          <w:ilvl w:val="0"/>
          <w:numId w:val="1009"/>
        </w:numPr>
        <w:pStyle w:val="Compact"/>
      </w:pPr>
      <w:r>
        <w:t xml:space="preserve">Cross-sectional study: give eligibility criteria, and the sources and methods of selection of participants.</w:t>
      </w:r>
    </w:p>
    <w:p>
      <w:pPr>
        <w:numPr>
          <w:ilvl w:val="0"/>
          <w:numId w:val="1009"/>
        </w:numPr>
        <w:pStyle w:val="Compact"/>
      </w:pPr>
      <w:r>
        <w:t xml:space="preserve">Describe informed consent protocols.</w:t>
      </w:r>
    </w:p>
    <w:p>
      <w:pPr>
        <w:numPr>
          <w:ilvl w:val="0"/>
          <w:numId w:val="1009"/>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7"/>
    <w:bookmarkStart w:id="32" w:name="sec-vars"/>
    <w:p>
      <w:pPr>
        <w:pStyle w:val="Heading2"/>
      </w:pPr>
      <w:r>
        <w:t xml:space="preserve">Variables</w:t>
      </w:r>
    </w:p>
    <w:p>
      <w:pPr>
        <w:numPr>
          <w:ilvl w:val="0"/>
          <w:numId w:val="1010"/>
        </w:numPr>
        <w:pStyle w:val="Compact"/>
      </w:pPr>
      <w:r>
        <w:t xml:space="preserve">Clearly define all outcomes, exposures, predictors, potential confounders, and effect modifiers.</w:t>
      </w:r>
    </w:p>
    <w:p>
      <w:pPr>
        <w:numPr>
          <w:ilvl w:val="0"/>
          <w:numId w:val="1010"/>
        </w:numPr>
        <w:pStyle w:val="Compact"/>
      </w:pPr>
      <w:r>
        <w:t xml:space="preserve">Explain the rationale for treating race as an exposure, confounder, effect modifier, or other type of variable in analyses.</w:t>
      </w:r>
    </w:p>
    <w:bookmarkStart w:id="28" w:name="sec-confounders"/>
    <w:p>
      <w:pPr>
        <w:pStyle w:val="Heading3"/>
      </w:pPr>
      <w:r>
        <w:t xml:space="preserve">Confounders</w:t>
      </w:r>
    </w:p>
    <w:bookmarkEnd w:id="28"/>
    <w:bookmarkStart w:id="29" w:name="sec-edcs"/>
    <w:p>
      <w:pPr>
        <w:pStyle w:val="Heading3"/>
      </w:pPr>
      <w:r>
        <w:t xml:space="preserve">Endocrine disrupting chemicals</w:t>
      </w:r>
    </w:p>
    <w:bookmarkEnd w:id="29"/>
    <w:bookmarkStart w:id="30" w:name="sec-steroids"/>
    <w:p>
      <w:pPr>
        <w:pStyle w:val="Heading3"/>
      </w:pPr>
      <w:r>
        <w:t xml:space="preserve">Corticosteroids</w:t>
      </w:r>
    </w:p>
    <w:bookmarkEnd w:id="30"/>
    <w:bookmarkStart w:id="31" w:name="sec-neurodevelopment"/>
    <w:p>
      <w:pPr>
        <w:pStyle w:val="Heading3"/>
      </w:pPr>
      <w:r>
        <w:t xml:space="preserve">Neurodevelopment</w:t>
      </w:r>
    </w:p>
    <w:bookmarkEnd w:id="31"/>
    <w:bookmarkEnd w:id="32"/>
    <w:bookmarkStart w:id="33"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3"/>
    <w:bookmarkStart w:id="34" w:name="sec-bias"/>
    <w:p>
      <w:pPr>
        <w:pStyle w:val="Heading2"/>
      </w:pPr>
      <w:r>
        <w:t xml:space="preserve">Bias</w:t>
      </w:r>
    </w:p>
    <w:p>
      <w:pPr>
        <w:numPr>
          <w:ilvl w:val="0"/>
          <w:numId w:val="1012"/>
        </w:numPr>
        <w:pStyle w:val="Compact"/>
      </w:pPr>
      <w:r>
        <w:t xml:space="preserve">Describe any efforts to address potential sources of bias.</w:t>
      </w:r>
    </w:p>
    <w:bookmarkEnd w:id="34"/>
    <w:bookmarkStart w:id="35" w:name="sec-size"/>
    <w:p>
      <w:pPr>
        <w:pStyle w:val="Heading2"/>
      </w:pPr>
      <w:r>
        <w:t xml:space="preserve">Study size</w:t>
      </w:r>
    </w:p>
    <w:p>
      <w:pPr>
        <w:numPr>
          <w:ilvl w:val="0"/>
          <w:numId w:val="1013"/>
        </w:numPr>
        <w:pStyle w:val="Compact"/>
      </w:pPr>
      <w:r>
        <w:t xml:space="preserve">Explain how the study size was arrived at.</w:t>
      </w:r>
    </w:p>
    <w:bookmarkEnd w:id="35"/>
    <w:bookmarkStart w:id="36"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6"/>
    <w:bookmarkStart w:id="37" w:name="sec-stat-methods"/>
    <w:p>
      <w:pPr>
        <w:pStyle w:val="Heading2"/>
      </w:pPr>
      <w:r>
        <w:t xml:space="preserve">Statistical methods</w:t>
      </w:r>
    </w:p>
    <w:p>
      <w:pPr>
        <w:numPr>
          <w:ilvl w:val="0"/>
          <w:numId w:val="1015"/>
        </w:numPr>
        <w:pStyle w:val="Compact"/>
      </w:pPr>
      <w:r>
        <w:t xml:space="preserve">Methods for selecting potential confounders (provide DAGs).</w:t>
      </w:r>
    </w:p>
    <w:p>
      <w:pPr>
        <w:numPr>
          <w:ilvl w:val="0"/>
          <w:numId w:val="1015"/>
        </w:numPr>
        <w:pStyle w:val="Compact"/>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Style w:val="Compact"/>
      </w:pPr>
      <w:r>
        <w:t xml:space="preserve">Describe any methods used to examine subgroups and interactions.</w:t>
      </w:r>
    </w:p>
    <w:p>
      <w:pPr>
        <w:numPr>
          <w:ilvl w:val="0"/>
          <w:numId w:val="1015"/>
        </w:numPr>
        <w:pStyle w:val="Compact"/>
      </w:pPr>
      <w:r>
        <w:t xml:space="preserve">Explain how missing data were addressed.</w:t>
      </w:r>
    </w:p>
    <w:p>
      <w:pPr>
        <w:numPr>
          <w:ilvl w:val="0"/>
          <w:numId w:val="1015"/>
        </w:numPr>
        <w:pStyle w:val="Compact"/>
      </w:pPr>
      <w:r>
        <w:t xml:space="preserve">Cohort study: explain how loss to follow-up was addressed.</w:t>
      </w:r>
    </w:p>
    <w:p>
      <w:pPr>
        <w:numPr>
          <w:ilvl w:val="0"/>
          <w:numId w:val="1015"/>
        </w:numPr>
        <w:pStyle w:val="Compact"/>
      </w:pPr>
      <w:r>
        <w:t xml:space="preserve">Cross-sectional study: describe analytical methods taking account of sampling strategy.</w:t>
      </w:r>
    </w:p>
    <w:p>
      <w:pPr>
        <w:numPr>
          <w:ilvl w:val="0"/>
          <w:numId w:val="1015"/>
        </w:numPr>
        <w:pStyle w:val="Compact"/>
      </w:pPr>
      <w:r>
        <w:t xml:space="preserve">Describe any sensitivity analyses.</w:t>
      </w:r>
    </w:p>
    <w:p>
      <w:pPr>
        <w:numPr>
          <w:ilvl w:val="0"/>
          <w:numId w:val="1015"/>
        </w:numPr>
        <w:pStyle w:val="Compact"/>
      </w:pPr>
      <w:r>
        <w:t xml:space="preserve">When referring to previous publications for methods’ details, include a brief description of the approach, key assumptions and limitations, and any deviation.</w:t>
      </w:r>
    </w:p>
    <w:p>
      <w:pPr>
        <w:numPr>
          <w:ilvl w:val="0"/>
          <w:numId w:val="1015"/>
        </w:numPr>
        <w:pStyle w:val="Compact"/>
      </w:pPr>
      <w:r>
        <w:t xml:space="preserve">Names and version numbers for the used software packages, including non-data arguments if deviating from the default ones.</w:t>
      </w:r>
    </w:p>
    <w:bookmarkEnd w:id="37"/>
    <w:bookmarkEnd w:id="38"/>
    <w:bookmarkStart w:id="45" w:name="sec-res"/>
    <w:p>
      <w:pPr>
        <w:pStyle w:val="Heading1"/>
      </w:pPr>
      <w:r>
        <w:t xml:space="preserve">Results</w:t>
      </w:r>
    </w:p>
    <w:bookmarkStart w:id="39" w:name="sec-res-participants"/>
    <w:p>
      <w:pPr>
        <w:pStyle w:val="Heading2"/>
      </w:pPr>
      <w:r>
        <w:t xml:space="preserve">Participants</w:t>
      </w:r>
    </w:p>
    <w:p>
      <w:pPr>
        <w:numPr>
          <w:ilvl w:val="0"/>
          <w:numId w:val="1017"/>
        </w:numPr>
        <w:pStyle w:val="Compact"/>
      </w:pPr>
      <w:r>
        <w:t xml:space="preserve">Give reasons for non-participation at each stage.</w:t>
      </w:r>
    </w:p>
    <w:bookmarkEnd w:id="39"/>
    <w:bookmarkStart w:id="40" w:name="sec-res-pop-desc"/>
    <w:p>
      <w:pPr>
        <w:pStyle w:val="Heading2"/>
      </w:pPr>
      <w:r>
        <w:t xml:space="preserve">Descriptive data</w:t>
      </w:r>
    </w:p>
    <w:bookmarkEnd w:id="40"/>
    <w:bookmarkStart w:id="41" w:name="sec-res-out-desc"/>
    <w:p>
      <w:pPr>
        <w:pStyle w:val="Heading2"/>
      </w:pPr>
      <w:r>
        <w:t xml:space="preserve">Outcome data</w:t>
      </w:r>
    </w:p>
    <w:bookmarkEnd w:id="41"/>
    <w:bookmarkStart w:id="43"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2">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3"/>
    <w:bookmarkStart w:id="44"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p>
      <w:pPr>
        <w:pStyle w:val="FirstParagraph"/>
      </w:pPr>
      <w:r>
        <w:rPr>
          <w:bCs/>
          <w:b/>
        </w:rPr>
        <w:t xml:space="preserve">?@tbl-chem-info</w:t>
      </w:r>
    </w:p>
    <w:bookmarkEnd w:id="44"/>
    <w:bookmarkEnd w:id="45"/>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End w:id="46"/>
    <w:bookmarkStart w:id="47" w:name="sec-limitations"/>
    <w:p>
      <w:pPr>
        <w:pStyle w:val="Heading2"/>
      </w:pPr>
      <w:r>
        <w:t xml:space="preserve">Limitations</w:t>
      </w:r>
    </w:p>
    <w:p>
      <w:pPr>
        <w:numPr>
          <w:ilvl w:val="0"/>
          <w:numId w:val="1024"/>
        </w:numPr>
        <w:pStyle w:val="Compact"/>
      </w:pPr>
      <w:r>
        <w:t xml:space="preserve">Discuss limitations of the study, taking into account sources of potential bias or imprecision.</w:t>
      </w:r>
    </w:p>
    <w:p>
      <w:pPr>
        <w:numPr>
          <w:ilvl w:val="0"/>
          <w:numId w:val="1024"/>
        </w:numPr>
        <w:pStyle w:val="Compact"/>
      </w:pPr>
      <w:r>
        <w:t xml:space="preserve">Discuss both direction and magnitude of any potential bias.</w:t>
      </w:r>
    </w:p>
    <w:bookmarkEnd w:id="47"/>
    <w:bookmarkStart w:id="48" w:name="sec-interpretation"/>
    <w:p>
      <w:pPr>
        <w:pStyle w:val="Heading2"/>
      </w:pPr>
      <w:r>
        <w:t xml:space="preserve">Interpretation</w:t>
      </w:r>
    </w:p>
    <w:p>
      <w:pPr>
        <w:numPr>
          <w:ilvl w:val="0"/>
          <w:numId w:val="1025"/>
        </w:numPr>
        <w:pStyle w:val="Compact"/>
      </w:pPr>
      <w:r>
        <w:t xml:space="preserve">End with a summary of the key findings and their implications for the study hypotheses, future research, and policy.</w:t>
      </w:r>
    </w:p>
    <w:p>
      <w:pPr>
        <w:numPr>
          <w:ilvl w:val="0"/>
          <w:numId w:val="1025"/>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6"/>
        </w:numPr>
        <w:pStyle w:val="Compact"/>
      </w:pPr>
      <w:r>
        <w:t xml:space="preserve">Discuss the generalisability (external validity) of the study results.</w:t>
      </w:r>
    </w:p>
    <w:p>
      <w:r>
        <w:br w:type="page"/>
      </w:r>
    </w:p>
    <w:bookmarkEnd w:id="49"/>
    <w:bookmarkEnd w:id="50"/>
    <w:bookmarkStart w:id="51" w:name="funding"/>
    <w:p>
      <w:pPr>
        <w:pStyle w:val="Heading1"/>
      </w:pPr>
      <w:r>
        <w:t xml:space="preserve">Funding</w:t>
      </w:r>
    </w:p>
    <w:p>
      <w:pPr>
        <w:numPr>
          <w:ilvl w:val="0"/>
          <w:numId w:val="1027"/>
        </w:numPr>
        <w:pStyle w:val="Compact"/>
      </w:pPr>
      <w:r>
        <w:t xml:space="preserve">Give the source of funding and the role of the funders for the present study and, if applicable, for the original study on which the present article is based.</w:t>
      </w:r>
    </w:p>
    <w:p>
      <w:r>
        <w:br w:type="page"/>
      </w:r>
    </w:p>
    <w:bookmarkEnd w:id="51"/>
    <w:bookmarkStart w:id="53" w:name="references"/>
    <w:p>
      <w:pPr>
        <w:pStyle w:val="Heading1"/>
      </w:pPr>
      <w:r>
        <w:t xml:space="preserve">References</w:t>
      </w:r>
    </w:p>
    <w:bookmarkStart w:id="52" w:name="refs"/>
    <w:bookmarkEnd w:id="52"/>
    <w:bookmarkEnd w:id="53"/>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42"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Fancy Title</dc:title>
  <dc:creator>Lorenzo Fabbri1,2,✉, and Martine Vrijheid1,2</dc:creator>
  <cp:keywords/>
  <dcterms:created xsi:type="dcterms:W3CDTF">2023-09-19T12:38:51Z</dcterms:created>
  <dcterms:modified xsi:type="dcterms:W3CDTF">2023-09-19T12:38:51Z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