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</w:t>
      </w:r>
    </w:p>
    <w:p>
      <w:pPr>
        <w:numPr>
          <w:ilvl w:val="0"/>
          <w:numId w:val="1001"/>
        </w:numPr>
        <w:pStyle w:val="Compact"/>
      </w:pPr>
      <w:r>
        <w:t xml:space="preserve">Begin each table on a new page after the list of references.</w:t>
      </w:r>
    </w:p>
    <w:p>
      <w:pPr>
        <w:numPr>
          <w:ilvl w:val="0"/>
          <w:numId w:val="1001"/>
        </w:numPr>
        <w:pStyle w:val="Compact"/>
      </w:pPr>
      <w:r>
        <w:t xml:space="preserve">Tables may not contain parts.</w:t>
      </w:r>
    </w:p>
    <w:p>
      <w:pPr>
        <w:numPr>
          <w:ilvl w:val="0"/>
          <w:numId w:val="1001"/>
        </w:numPr>
        <w:pStyle w:val="Compact"/>
      </w:pPr>
      <w:r>
        <w:t xml:space="preserve">Provide the title for each table above the table and the notes below the table.</w:t>
      </w:r>
    </w:p>
    <w:p>
      <w:pPr>
        <w:numPr>
          <w:ilvl w:val="0"/>
          <w:numId w:val="1001"/>
        </w:numPr>
        <w:pStyle w:val="Compact"/>
      </w:pPr>
      <w:r>
        <w:t xml:space="preserve">List footnotes after the general one, one per line and indicated with a lowercase italicized letter.</w:t>
      </w:r>
    </w:p>
    <w:bookmarkStart w:id="24" w:name="descriptive-data"/>
    <w:p>
      <w:pPr>
        <w:pStyle w:val="Heading1"/>
      </w:pPr>
      <w:r>
        <w:t xml:space="preserve">Descriptive data</w:t>
      </w:r>
    </w:p>
    <w:bookmarkStart w:id="20" w:name="study-populations"/>
    <w:p>
      <w:pPr>
        <w:pStyle w:val="Heading2"/>
      </w:pPr>
      <w:r>
        <w:t xml:space="preserve">Study populations</w:t>
      </w:r>
    </w:p>
    <w:p>
      <w:pPr>
        <w:numPr>
          <w:ilvl w:val="0"/>
          <w:numId w:val="1002"/>
        </w:numPr>
        <w:pStyle w:val="Compact"/>
      </w:pPr>
      <w:r>
        <w:t xml:space="preserve">Basic characteristics of study participants (demographic, clinical, social), by cohort and overall.</w:t>
      </w:r>
    </w:p>
    <w:p>
      <w:pPr>
        <w:numPr>
          <w:ilvl w:val="1"/>
          <w:numId w:val="1003"/>
        </w:numPr>
        <w:pStyle w:val="Compact"/>
      </w:pPr>
      <w:r>
        <w:t xml:space="preserve">Include all covariates included in primary or secondary analyses.</w:t>
      </w:r>
    </w:p>
    <w:p>
      <w:pPr>
        <w:numPr>
          <w:ilvl w:val="1"/>
          <w:numId w:val="1003"/>
        </w:numPr>
        <w:pStyle w:val="Compact"/>
      </w:pPr>
      <w:r>
        <w:t xml:space="preserve">Indicate number of participants with missing data for each variable of interest.</w:t>
      </w:r>
    </w:p>
    <w:p>
      <w:pPr>
        <w:numPr>
          <w:ilvl w:val="1"/>
          <w:numId w:val="1003"/>
        </w:numPr>
        <w:pStyle w:val="Compact"/>
      </w:pPr>
      <w:r>
        <w:t xml:space="preserve">Report numbers of outcome events or summary measures.</w:t>
      </w:r>
    </w:p>
    <w:bookmarkEnd w:id="20"/>
    <w:bookmarkStart w:id="22" w:name="endocrine-disruptors"/>
    <w:p>
      <w:pPr>
        <w:pStyle w:val="Heading2"/>
      </w:pPr>
      <w:r>
        <w:t xml:space="preserve">Endocrine disruptors</w:t>
      </w:r>
    </w:p>
    <w:p>
      <w:pPr>
        <w:numPr>
          <w:ilvl w:val="0"/>
          <w:numId w:val="1004"/>
        </w:numPr>
        <w:pStyle w:val="Compact"/>
      </w:pPr>
      <w:r>
        <w:t xml:space="preserve">Levels of unprocessed biomarkers (chemicals), with IDs.</w:t>
      </w:r>
    </w:p>
    <w:p>
      <w:pPr>
        <w:numPr>
          <w:ilvl w:val="0"/>
          <w:numId w:val="1004"/>
        </w:numPr>
        <w:pStyle w:val="Compact"/>
      </w:pPr>
      <w:r>
        <w:t xml:space="preserve">Report: minimum and maximum, percentiles, and number of observations above/below the assay’s LOD and LOQ.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1" w:name="tbl-chem-info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Information about the non-persistent EDCs.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Compound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Symbol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PubChem CID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CTD ID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Exposome Explore ID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Parental compound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6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OP pesticide metabolites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diethyl dithiophosphate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DEDTP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9274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C000654497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diethyl phosphate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654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C034789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diethyl thiophosphate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3683036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C035638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dimethyl dithiophosphate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DMDTP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Unsure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dimethyl phosphate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13134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C007477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dimethyl thiophosphate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168140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C040340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6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Phenols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bisphenol 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6623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C006780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1418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ethyl-paraben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ETPA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8434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C012313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1422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methyl-paraben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7456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C015358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1421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n‑butyl‑paraben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BUPA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7184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C038091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1424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oxybenzone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OXBE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4632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C005290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1419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propyl-paraben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7175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C006068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1423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triclosan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TRCS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5564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D014260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1420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6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Phthalate metabolites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mono benzyl phthalate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MBzP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31736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C103325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1397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BzBP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mono‑2‑ethyl 5‑carboxypentyl phthalate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MECPP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148386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C051450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1403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DEHP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mono‑2‑ethyl‑5‑hydroxyhexyl phthalate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170295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C479069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1402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DEHP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mono‑2‑ethyl‑5‑oxohexyl phthalate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MEOHP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119096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C080276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1401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DEHP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mono‑2‑ethylhexyl phthalate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21924291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C016599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Unsure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DEHP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mono‑4‑methyl‑7‑hydroxyoctyl phthalate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oh-MiNP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102401880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1451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mono‑4‑methyl‑7‑oxooctyl phthalate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oxo-MiNP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102401881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1492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mono‑iso‑butyl phthalate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92272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C575690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1399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DiBP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mono‑n‑butyl phthalate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MnBP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8575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C028577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1398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monoethyl phthalate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75318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C581825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1396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DEP</w:t>
                  </w:r>
                </w:p>
              </w:tc>
            </w:tr>
          </w:tbl>
          <w:bookmarkEnd w:id="21"/>
        </w:tc>
      </w:tr>
    </w:tbl>
    <w:bookmarkEnd w:id="22"/>
    <w:bookmarkStart w:id="23" w:name="corticosteroids"/>
    <w:p>
      <w:pPr>
        <w:pStyle w:val="Heading2"/>
      </w:pPr>
      <w:r>
        <w:t xml:space="preserve">Corticosteroids</w:t>
      </w:r>
    </w:p>
    <w:p>
      <w:pPr>
        <w:numPr>
          <w:ilvl w:val="0"/>
          <w:numId w:val="1005"/>
        </w:numPr>
        <w:pStyle w:val="Compact"/>
      </w:pPr>
      <w:r>
        <w:t xml:space="preserve">Levels of unprocessed biomarkers (metabolites), with IDs.</w:t>
      </w:r>
    </w:p>
    <w:p>
      <w:pPr>
        <w:numPr>
          <w:ilvl w:val="0"/>
          <w:numId w:val="1005"/>
        </w:numPr>
        <w:pStyle w:val="Compact"/>
      </w:pPr>
      <w:r>
        <w:t xml:space="preserve">Table comparing subjects with and without measurement of steroids.</w:t>
      </w:r>
    </w:p>
    <w:bookmarkEnd w:id="23"/>
    <w:bookmarkEnd w:id="24"/>
    <w:bookmarkStart w:id="25" w:name="main-results"/>
    <w:p>
      <w:pPr>
        <w:pStyle w:val="Heading1"/>
      </w:pPr>
      <w:r>
        <w:t xml:space="preserve">Main results</w:t>
      </w:r>
    </w:p>
    <w:p>
      <w:pPr>
        <w:numPr>
          <w:ilvl w:val="0"/>
          <w:numId w:val="1006"/>
        </w:numPr>
        <w:pStyle w:val="Compact"/>
      </w:pPr>
      <w:r>
        <w:t xml:space="preserve">RQ2: group chemicals by class, and for each chemical report results with metabolites (</w:t>
      </w:r>
      <w:r>
        <w:rPr>
          <w:rStyle w:val="VerbatimChar"/>
        </w:rPr>
        <w:t xml:space="preserve">avg_comparisons</w:t>
      </w:r>
      <w:r>
        <w:t xml:space="preserve"> </w:t>
      </w:r>
      <w:r>
        <w:t xml:space="preserve">with estimate, SE, s-value, CI).</w:t>
      </w:r>
    </w:p>
    <w:p>
      <w:pPr>
        <w:numPr>
          <w:ilvl w:val="0"/>
          <w:numId w:val="1006"/>
        </w:numPr>
        <w:pStyle w:val="Compact"/>
      </w:pPr>
      <w:r>
        <w:t xml:space="preserve">RQ3: report results with outcome (</w:t>
      </w:r>
      <w:r>
        <w:rPr>
          <w:rStyle w:val="VerbatimChar"/>
        </w:rPr>
        <w:t xml:space="preserve">avg_comparisons</w:t>
      </w:r>
      <w:r>
        <w:t xml:space="preserve"> </w:t>
      </w:r>
      <w:r>
        <w:t xml:space="preserve">with estimate, SE, s-value, CI).</w:t>
      </w:r>
    </w:p>
    <w:bookmarkEnd w:id="25"/>
    <w:bookmarkStart w:id="26" w:name="other-analyses"/>
    <w:p>
      <w:pPr>
        <w:pStyle w:val="Heading1"/>
      </w:pPr>
      <w:r>
        <w:t xml:space="preserve">Other analyses</w:t>
      </w:r>
    </w:p>
    <w:bookmarkEnd w:id="26"/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720" w:val="num"/>
        </w:tabs>
        <w:ind w:hanging="480" w:left="120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1440" w:val="num"/>
        </w:tabs>
        <w:ind w:hanging="480" w:left="192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2160" w:val="num"/>
        </w:tabs>
        <w:ind w:hanging="480" w:left="264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2880" w:val="num"/>
        </w:tabs>
        <w:ind w:hanging="480" w:left="336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3600" w:val="num"/>
        </w:tabs>
        <w:ind w:hanging="480" w:left="408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4320" w:val="num"/>
        </w:tabs>
        <w:ind w:hanging="480" w:left="480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5040" w:val="num"/>
        </w:tabs>
        <w:ind w:hanging="480" w:left="552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5760" w:val="num"/>
        </w:tabs>
        <w:ind w:hanging="480" w:left="6240"/>
      </w:pPr>
      <w:rPr>
        <w:rFonts w:ascii="Symbol" w:cs="Symbol" w:hAnsi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720" w:val="num"/>
        </w:tabs>
        <w:ind w:hanging="480" w:left="120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1440" w:val="num"/>
        </w:tabs>
        <w:ind w:hanging="480" w:left="192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2160" w:val="num"/>
        </w:tabs>
        <w:ind w:hanging="480" w:left="264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2880" w:val="num"/>
        </w:tabs>
        <w:ind w:hanging="480" w:left="336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3600" w:val="num"/>
        </w:tabs>
        <w:ind w:hanging="480" w:left="408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4320" w:val="num"/>
        </w:tabs>
        <w:ind w:hanging="480" w:left="480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5040" w:val="num"/>
        </w:tabs>
        <w:ind w:hanging="480" w:left="552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5760" w:val="num"/>
        </w:tabs>
        <w:ind w:hanging="480" w:left="6240"/>
      </w:pPr>
      <w:rPr>
        <w:rFonts w:ascii="Symbol" w:cs="Symbol" w:hAnsi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720" w:val="num"/>
        </w:tabs>
        <w:ind w:hanging="480" w:left="120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1440" w:val="num"/>
        </w:tabs>
        <w:ind w:hanging="480" w:left="192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2160" w:val="num"/>
        </w:tabs>
        <w:ind w:hanging="480" w:left="264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2880" w:val="num"/>
        </w:tabs>
        <w:ind w:hanging="480" w:left="336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3600" w:val="num"/>
        </w:tabs>
        <w:ind w:hanging="480" w:left="408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4320" w:val="num"/>
        </w:tabs>
        <w:ind w:hanging="480" w:left="480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5040" w:val="num"/>
        </w:tabs>
        <w:ind w:hanging="480" w:left="552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5760" w:val="num"/>
        </w:tabs>
        <w:ind w:hanging="480" w:left="6240"/>
      </w:pPr>
      <w:rPr>
        <w:rFonts w:ascii="Symbol" w:cs="Symbol" w:hAnsi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1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2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24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rsid w:val="00e93a53"/>
    <w:pPr>
      <w:keepNext w:val="true"/>
      <w:keepLines/>
      <w:spacing w:after="0" w:before="480"/>
      <w:outlineLvl w:val="0"/>
    </w:pPr>
    <w:rPr>
      <w:rFonts w:cs="" w:cstheme="majorBidi" w:eastAsia="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rsid w:val="00e93a53"/>
    <w:pPr>
      <w:keepNext w:val="true"/>
      <w:keepLines/>
      <w:spacing w:after="0" w:before="200"/>
      <w:outlineLvl w:val="1"/>
    </w:pPr>
    <w:rPr>
      <w:rFonts w:cs="" w:cstheme="majorBidi" w:eastAsia="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/>
      <w:iCs/>
      <w:color w:themeColor="accent1" w:val="4F81BD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  <w:qFormat/>
    <w:rPr/>
  </w:style>
  <w:style w:customStyle="1" w:styleId="CaptionChar" w:type="character">
    <w:name w:val="Caption Char"/>
    <w:basedOn w:val="DefaultParagraphFont"/>
    <w:link w:val="Caption1"/>
    <w:qFormat/>
    <w:rPr/>
  </w:style>
  <w:style w:customStyle="1" w:styleId="VerbatimChar" w:type="character">
    <w:name w:val="Verbatim Char"/>
    <w:basedOn w:val="CaptionChar"/>
    <w:link w:val="SourceCode"/>
    <w:qFormat/>
    <w:rPr>
      <w:rFonts w:ascii="Consolas" w:hAnsi="Consolas"/>
      <w:sz w:val="22"/>
    </w:rPr>
  </w:style>
  <w:style w:styleId="FootnoteCharacters" w:type="character">
    <w:name w:val="Footnote Characters"/>
    <w:basedOn w:val="Caption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Caption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customStyle="1" w:styleId="DataTypeTok" w:type="character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customStyle="1" w:styleId="DecValTok" w:type="character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BaseNTok" w:type="character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FloatTok" w:type="character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ConstantTok" w:type="character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CharTok" w:type="character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SpecialCharTok" w:type="character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StringTok" w:type="character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VerbatimStringTok" w:type="character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SpecialStringTok" w:type="character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ImportTok" w:type="character">
    <w:name w:val="ImportTok"/>
    <w:basedOn w:val="VerbatimChar"/>
    <w:qFormat/>
    <w:rPr>
      <w:rFonts w:ascii="Consolas" w:hAnsi="Consolas"/>
      <w:sz w:val="22"/>
      <w:shd w:fill="F8F8F8" w:val="clear"/>
    </w:rPr>
  </w:style>
  <w:style w:customStyle="1" w:styleId="CommentTok" w:type="character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DocumentationTok" w:type="character">
    <w:name w:val="Documen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AnnotationTok" w:type="character">
    <w:name w:val="Anno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CommentVarTok" w:type="character">
    <w:name w:val="CommentVar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OtherTok" w:type="character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customStyle="1" w:styleId="FunctionTok" w:type="character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VariableTok" w:type="character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ControlFlowTok" w:type="character">
    <w:name w:val="ControlFlow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customStyle="1" w:styleId="OperatorTok" w:type="character">
    <w:name w:val="OperatorTok"/>
    <w:basedOn w:val="VerbatimChar"/>
    <w:qFormat/>
    <w:rPr>
      <w:rFonts w:ascii="Consolas" w:hAnsi="Consolas"/>
      <w:b/>
      <w:color w:val="CE5C00"/>
      <w:sz w:val="22"/>
      <w:shd w:fill="F8F8F8" w:val="clear"/>
    </w:rPr>
  </w:style>
  <w:style w:customStyle="1" w:styleId="BuiltInTok" w:type="character">
    <w:name w:val="BuiltInTok"/>
    <w:basedOn w:val="VerbatimChar"/>
    <w:qFormat/>
    <w:rPr>
      <w:rFonts w:ascii="Consolas" w:hAnsi="Consolas"/>
      <w:sz w:val="22"/>
      <w:shd w:fill="F8F8F8" w:val="clear"/>
    </w:rPr>
  </w:style>
  <w:style w:customStyle="1" w:styleId="ExtensionTok" w:type="character">
    <w:name w:val="ExtensionTok"/>
    <w:basedOn w:val="VerbatimChar"/>
    <w:qFormat/>
    <w:rPr>
      <w:rFonts w:ascii="Consolas" w:hAnsi="Consolas"/>
      <w:sz w:val="22"/>
      <w:shd w:fill="F8F8F8" w:val="clear"/>
    </w:rPr>
  </w:style>
  <w:style w:customStyle="1" w:styleId="PreprocessorTok" w:type="character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AttributeTok" w:type="character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customStyle="1" w:styleId="RegionMarkerTok" w:type="character">
    <w:name w:val="RegionMarkerTok"/>
    <w:basedOn w:val="VerbatimChar"/>
    <w:qFormat/>
    <w:rPr>
      <w:rFonts w:ascii="Consolas" w:hAnsi="Consolas"/>
      <w:sz w:val="22"/>
      <w:shd w:fill="F8F8F8" w:val="clear"/>
    </w:rPr>
  </w:style>
  <w:style w:customStyle="1" w:styleId="InformationTok" w:type="character">
    <w:name w:val="Inform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WarningTok" w:type="character">
    <w:name w:val="Warning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AlertTok" w:type="character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customStyle="1" w:styleId="ErrorTok" w:type="character">
    <w:name w:val="ErrorTok"/>
    <w:basedOn w:val="VerbatimChar"/>
    <w:qFormat/>
    <w:rPr>
      <w:rFonts w:ascii="Consolas" w:hAnsi="Consolas"/>
      <w:b/>
      <w:color w:val="A40000"/>
      <w:sz w:val="22"/>
      <w:shd w:fill="F8F8F8" w:val="clear"/>
    </w:rPr>
  </w:style>
  <w:style w:customStyle="1" w:styleId="NormalTok" w:type="character">
    <w:name w:val="NormalTok"/>
    <w:basedOn w:val="VerbatimChar"/>
    <w:qFormat/>
    <w:rPr>
      <w:rFonts w:ascii="Consolas" w:hAnsi="Consolas"/>
      <w:sz w:val="22"/>
      <w:shd w:fill="F8F8F8" w:val="clear"/>
    </w:rPr>
  </w:style>
  <w:style w:customStyle="1" w:styleId="BodyTextChar" w:type="character">
    <w:name w:val="Body Text Char"/>
    <w:basedOn w:val="DefaultParagraphFont"/>
    <w:qFormat/>
    <w:rsid w:val="00e93a53"/>
    <w:rPr/>
  </w:style>
  <w:style w:styleId="LineNumbering" w:type="character">
    <w:name w:val="Line Numbering"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rsid w:val="00e93a53"/>
    <w:pPr>
      <w:keepNext w:val="true"/>
      <w:keepLines/>
      <w:spacing w:after="240" w:before="480"/>
      <w:jc w:val="center"/>
    </w:pPr>
    <w:rPr>
      <w:rFonts w:ascii="Cambria" w:cs="" w:cstheme="majorBidi" w:eastAsia="" w:eastAsiaTheme="majorEastAsia" w:hAnsi="Cambr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TextBody"/>
    <w:qFormat/>
    <w:pPr>
      <w:spacing w:after="240" w:before="240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</w:pPr>
    <w:rPr>
      <w:rFonts w:ascii="Calibri" w:asciiTheme="majorHAnsi" w:cs="" w:cstheme="majorBidi" w:eastAsia="" w:eastAsiaTheme="majorEastAsia" w:hAnsi="Calibri" w:hAnsiTheme="majorHAnsi"/>
      <w:bCs/>
      <w:sz w:val="20"/>
      <w:szCs w:val="20"/>
    </w:rPr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styleId="Caption1" w:type="paragraph">
    <w:name w:val="caption"/>
    <w:basedOn w:val="Normal"/>
    <w:link w:val="CaptionChar"/>
    <w:qFormat/>
    <w:pPr>
      <w:spacing w:after="120" w:before="0"/>
    </w:pPr>
    <w:rPr>
      <w:i/>
    </w:rPr>
  </w:style>
  <w:style w:customStyle="1" w:styleId="TableCaption" w:type="paragraph">
    <w:name w:val="Table Caption"/>
    <w:basedOn w:val="Caption1"/>
    <w:qFormat/>
    <w:pPr>
      <w:keepNext w:val="true"/>
    </w:pPr>
    <w:rPr/>
  </w:style>
  <w:style w:customStyle="1" w:styleId="ImageCaption" w:type="paragraph">
    <w:name w:val="Image Caption"/>
    <w:basedOn w:val="Caption1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color="auto" w:fill="F8F8F8" w:val="clear"/>
    </w:pPr>
    <w:rPr/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Footer" w:type="paragraph">
    <w:name w:val="Footer"/>
    <w:basedOn w:val="HeaderandFooter"/>
    <w:pPr>
      <w:suppressLineNumbers/>
    </w:pPr>
    <w:rPr/>
  </w:style>
  <w:style w:styleId="Header" w:type="paragraph">
    <w:name w:val="Header"/>
    <w:basedOn w:val="HeaderandFooter"/>
    <w:pPr>
      <w:suppressLineNumbers/>
    </w:pPr>
    <w:rPr/>
  </w:style>
  <w:style w:default="1" w:styleId="NoList" w:type="numbering">
    <w:name w:val="No List"/>
    <w:uiPriority w:val="99"/>
    <w:semiHidden/>
    <w:unhideWhenUsed/>
    <w:qFormat/>
  </w:style>
  <w:style w:default="1" w:styleId="TableNormal" w:type="table">
    <w:name w:val="Normal Table"/>
    <w:uiPriority w:val="99"/>
    <w:semiHidden/>
    <w:unhideWhenUsed/>
    <w:tblPr>
      <w:tblCellMar>
        <w:top w:type="dxa" w:w="0"/>
        <w:left w:type="dxa" w:w="108"/>
        <w:bottom w:type="dxa" w:w="0"/>
        <w:right w:type="dxa" w:w="108"/>
      </w:tblCellMar>
    </w:tblPr>
  </w:style>
  <w:style w:customStyle="1" w:styleId="Table" w:type="table">
    <w:name w:val="Table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  <Pages>2</Pages>
  <Words>476</Words>
  <Characters>2380</Characters>
  <CharactersWithSpaces>2797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</dc:title>
  <dc:creator/>
  <cp:keywords/>
  <dcterms:created xsi:type="dcterms:W3CDTF">2023-10-16T16:05:05Z</dcterms:created>
  <dcterms:modified xsi:type="dcterms:W3CDTF">2023-10-16T16:05:05Z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ink-citations">
    <vt:lpwstr>True</vt:lpwstr>
  </property>
  <property fmtid="{D5CDD505-2E9C-101B-9397-08002B2CF9AE}" pid="10" name="linkcolor">
    <vt:lpwstr>blue</vt:lpwstr>
  </property>
  <property fmtid="{D5CDD505-2E9C-101B-9397-08002B2CF9AE}" pid="11" name="toc-title">
    <vt:lpwstr>Table of contents</vt:lpwstr>
  </property>
</Properties>
</file>