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attentional</w:t>
      </w:r>
      <w:r>
        <w:t xml:space="preserve"> </w:t>
      </w:r>
      <w:r>
        <w:t xml:space="preserve">function:</w:t>
      </w:r>
      <w:r>
        <w:t xml:space="preserve"> </w:t>
      </w:r>
      <w:r>
        <w:t xml:space="preserve">A</w:t>
      </w:r>
      <w:r>
        <w:t xml:space="preserve"> </w:t>
      </w:r>
      <w:r>
        <w:t xml:space="preserve">cross-sectional</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Oliver</w:t>
      </w:r>
      <w:r>
        <w:t xml:space="preserve"> </w:t>
      </w:r>
      <w:r>
        <w:t xml:space="preserve">Robinson</w:t>
      </w:r>
      <w:r>
        <w:rPr>
          <w:vertAlign w:val="superscript"/>
        </w:rPr>
        <w:t xml:space="preserve">12</w:t>
      </w:r>
      <w:r>
        <w:t xml:space="preserve">,</w:t>
      </w:r>
      <w:r>
        <w:t xml:space="preserve"> </w:t>
      </w:r>
      <w:r>
        <w:t xml:space="preserve">Xavier</w:t>
      </w:r>
      <w:r>
        <w:t xml:space="preserve"> </w:t>
      </w:r>
      <w:r>
        <w:t xml:space="preserve">Basagaña</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Leda</w:t>
      </w:r>
      <w:r>
        <w:t xml:space="preserve"> </w:t>
      </w:r>
      <w:r>
        <w:t xml:space="preserve">Chatzi</w:t>
      </w:r>
      <w:r>
        <w:rPr>
          <w:vertAlign w:val="superscript"/>
        </w:rPr>
        <w:t xml:space="preserve">11</w:t>
      </w:r>
      <w:r>
        <w:t xml:space="preserve">,</w:t>
      </w:r>
      <w:r>
        <w:t xml:space="preserve"> </w:t>
      </w:r>
      <w:r>
        <w:t xml:space="preserve">Regina</w:t>
      </w:r>
      <w:r>
        <w:t xml:space="preserve"> </w:t>
      </w:r>
      <w:r>
        <w:t xml:space="preserve">Gražulevičienė</w:t>
      </w:r>
      <w:r>
        <w:rPr>
          <w:vertAlign w:val="superscript"/>
        </w:rPr>
        <w:t xml:space="preserve">5</w:t>
      </w:r>
      <w:r>
        <w:t xml:space="preserve">,</w:t>
      </w:r>
      <w:r>
        <w:t xml:space="preserve"> </w:t>
      </w:r>
      <w:r>
        <w:t xml:space="preserve">Mònica</w:t>
      </w:r>
      <w:r>
        <w:t xml:space="preserve"> </w:t>
      </w:r>
      <w:r>
        <w:t xml:space="preserve">Guxens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Manik</w:t>
      </w:r>
      <w:r>
        <w:t xml:space="preserve"> </w:t>
      </w:r>
      <w:r>
        <w:t xml:space="preserve">Kadawathagedara</w:t>
      </w:r>
      <w:r>
        <w:rPr>
          <w:vertAlign w:val="superscript"/>
        </w:rPr>
        <w:t xml:space="preserve">8</w:t>
      </w:r>
      <w:r>
        <w:t xml:space="preserve">,</w:t>
      </w:r>
      <w:r>
        <w:t xml:space="preserve"> </w:t>
      </w:r>
      <w:r>
        <w:t xml:space="preserve">Amrit</w:t>
      </w:r>
      <w:r>
        <w:t xml:space="preserve"> </w:t>
      </w:r>
      <w:r>
        <w:t xml:space="preserve">Kaur</w:t>
      </w:r>
      <w:r>
        <w:t xml:space="preserve"> </w:t>
      </w:r>
      <w:r>
        <w:t xml:space="preserve">Sakhi</w:t>
      </w:r>
      <w:r>
        <w:rPr>
          <w:vertAlign w:val="superscript"/>
        </w:rPr>
        <w:t xml:space="preserve">6</w:t>
      </w:r>
      <w:r>
        <w:t xml:space="preserve">,</w:t>
      </w:r>
      <w:r>
        <w:t xml:space="preserve"> </w:t>
      </w:r>
      <w:r>
        <w:t xml:space="preserve">Léa</w:t>
      </w:r>
      <w:r>
        <w:t xml:space="preserve"> </w:t>
      </w:r>
      <w:r>
        <w:t xml:space="preserve">Maitre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Rosemary</w:t>
      </w:r>
      <w:r>
        <w:t xml:space="preserve"> </w:t>
      </w:r>
      <w:r>
        <w:t xml:space="preserve">McEachan</w:t>
      </w:r>
      <w:r>
        <w:rPr>
          <w:vertAlign w:val="superscript"/>
        </w:rPr>
        <w:t xml:space="preserve">10</w:t>
      </w:r>
      <w:r>
        <w:t xml:space="preserve">,</w:t>
      </w:r>
      <w:r>
        <w:t xml:space="preserve"> </w:t>
      </w:r>
      <w:r>
        <w:t xml:space="preserve">Claire</w:t>
      </w:r>
      <w:r>
        <w:t xml:space="preserve"> </w:t>
      </w:r>
      <w:r>
        <w:t xml:space="preserve">Philippat</w:t>
      </w:r>
      <w:r>
        <w:rPr>
          <w:vertAlign w:val="superscript"/>
        </w:rPr>
        <w:t xml:space="preserve">9</w:t>
      </w:r>
      <w:r>
        <w:t xml:space="preserve">,</w:t>
      </w:r>
      <w:r>
        <w:t xml:space="preserve"> </w:t>
      </w:r>
      <w:r>
        <w:t xml:space="preserve">Óscar</w:t>
      </w:r>
      <w:r>
        <w:t xml:space="preserve"> </w:t>
      </w:r>
      <w:r>
        <w:t xml:space="preserve">J</w:t>
      </w:r>
      <w:r>
        <w:t xml:space="preserve"> </w:t>
      </w:r>
      <w:r>
        <w:t xml:space="preserve">Pozo</w:t>
      </w:r>
      <w:r>
        <w:rPr>
          <w:vertAlign w:val="superscript"/>
        </w:rPr>
        <w:t xml:space="preserve">4</w:t>
      </w:r>
      <w:r>
        <w:t xml:space="preserve">,</w:t>
      </w:r>
      <w:r>
        <w:t xml:space="preserve"> </w:t>
      </w:r>
      <w:r>
        <w:t xml:space="preserve">Cathrine</w:t>
      </w:r>
      <w:r>
        <w:t xml:space="preserve"> </w:t>
      </w:r>
      <w:r>
        <w:t xml:space="preserve">Thomsen</w:t>
      </w:r>
      <w:r>
        <w:rPr>
          <w:vertAlign w:val="superscript"/>
        </w:rPr>
        <w:t xml:space="preserve">6</w:t>
      </w:r>
      <w:r>
        <w:t xml:space="preserve">,</w:t>
      </w:r>
      <w:r>
        <w:t xml:space="preserve"> </w:t>
      </w:r>
      <w:r>
        <w:t xml:space="preserve">John</w:t>
      </w:r>
      <w:r>
        <w:t xml:space="preserve"> </w:t>
      </w:r>
      <w:r>
        <w:t xml:space="preserve">Wright</w:t>
      </w:r>
      <w:r>
        <w:rPr>
          <w:vertAlign w:val="superscript"/>
        </w:rPr>
        <w:t xml:space="preserve">10</w:t>
      </w:r>
      <w:r>
        <w:t xml:space="preserve">,</w:t>
      </w:r>
      <w:r>
        <w:t xml:space="preserve"> </w:t>
      </w:r>
      <w:r>
        <w:t xml:space="preserve">Tiffany</w:t>
      </w:r>
      <w:r>
        <w:t xml:space="preserve"> </w:t>
      </w:r>
      <w:r>
        <w:t xml:space="preserve">Yang</w:t>
      </w:r>
      <w:r>
        <w:rPr>
          <w:vertAlign w:val="superscript"/>
        </w:rPr>
        <w:t xml:space="preserve">10</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ISGlobal, Barcelona, Spain</w:t>
      </w:r>
      <w:r>
        <w:br/>
      </w:r>
      <w:r>
        <w:rPr>
          <w:vertAlign w:val="superscript"/>
        </w:rPr>
        <w:t xml:space="preserve">2</w:t>
      </w:r>
      <w:r>
        <w:t xml:space="preserve"> </w:t>
      </w:r>
      <w:r>
        <w:t xml:space="preserve">Universitat Pompeu Fabra, Barcelona, Spain</w:t>
      </w:r>
      <w:r>
        <w:br/>
      </w:r>
      <w:r>
        <w:rPr>
          <w:vertAlign w:val="superscript"/>
        </w:rPr>
        <w:t xml:space="preserve">3</w:t>
      </w:r>
      <w:r>
        <w:t xml:space="preserve"> </w:t>
      </w:r>
      <w:r>
        <w:t xml:space="preserve">Spanish Consortium for Research and Public Health (CIBERESP), Instituto de Salud Carlos III, Madrid, Spain</w:t>
      </w:r>
      <w:r>
        <w:br/>
      </w:r>
      <w:r>
        <w:rPr>
          <w:vertAlign w:val="superscript"/>
        </w:rPr>
        <w:t xml:space="preserve">4</w:t>
      </w:r>
      <w:r>
        <w:t xml:space="preserve"> </w:t>
      </w:r>
      <w:r>
        <w:t xml:space="preserve">Hospital del Mar Research Institute, Barcelona, Spain</w:t>
      </w:r>
      <w:r>
        <w:br/>
      </w:r>
      <w:r>
        <w:rPr>
          <w:vertAlign w:val="superscript"/>
        </w:rPr>
        <w:t xml:space="preserve">5</w:t>
      </w:r>
      <w:r>
        <w:t xml:space="preserve"> </w:t>
      </w:r>
      <w:r>
        <w:t xml:space="preserve">Department of Environmental Sciences, Vytautas Magnus University, Kaunas, Lithuania</w:t>
      </w:r>
      <w:r>
        <w:br/>
      </w:r>
      <w:r>
        <w:rPr>
          <w:vertAlign w:val="superscript"/>
        </w:rPr>
        <w:t xml:space="preserve">6</w:t>
      </w:r>
      <w:r>
        <w:t xml:space="preserve"> </w:t>
      </w:r>
      <w:r>
        <w:t xml:space="preserve">Department of Food Safety, Norwegian Institute of Public Health, Oslo, Norway</w:t>
      </w:r>
      <w:r>
        <w:br/>
      </w:r>
      <w:r>
        <w:rPr>
          <w:vertAlign w:val="superscript"/>
        </w:rPr>
        <w:t xml:space="preserve">7</w:t>
      </w:r>
      <w:r>
        <w:t xml:space="preserve"> </w:t>
      </w:r>
      <w:r>
        <w:t xml:space="preserve">Department of Child and Adolescent Psychiatry/Psychology, Erasmus University Medical Center - Sophia Children’s Hospital, Rotterdam, Netherlands</w:t>
      </w:r>
      <w:r>
        <w:br/>
      </w:r>
      <w:r>
        <w:rPr>
          <w:vertAlign w:val="superscript"/>
        </w:rPr>
        <w:t xml:space="preserve">8</w:t>
      </w:r>
      <w:r>
        <w:t xml:space="preserve"> </w:t>
      </w:r>
      <w:r>
        <w:t xml:space="preserve">Centre for Research in Epidemiology and Statistics, Equipe EAROH, Université Paris Cité, Université Sorbonne Paris Nord, Île-de-France, France</w:t>
      </w:r>
      <w:r>
        <w:br/>
      </w:r>
      <w:r>
        <w:rPr>
          <w:vertAlign w:val="superscript"/>
        </w:rPr>
        <w:t xml:space="preserve">9</w:t>
      </w:r>
      <w:r>
        <w:t xml:space="preserve"> </w:t>
      </w:r>
      <w:r>
        <w:t xml:space="preserve">University Grenoble Alpes, Inserm U1209, CNRS UMR 5309, Team of Environmental Epidemiology applied to Development and Respiratory Health, Institute for Advanced Biosciences, Grenoble, France</w:t>
      </w:r>
      <w:r>
        <w:br/>
      </w:r>
      <w:r>
        <w:rPr>
          <w:vertAlign w:val="superscript"/>
        </w:rPr>
        <w:t xml:space="preserve">10</w:t>
      </w:r>
      <w:r>
        <w:t xml:space="preserve"> </w:t>
      </w:r>
      <w:r>
        <w:t xml:space="preserve">Bradford Institute for Health Research, Bradford Teaching Hospitals NHS Foundation Trust, Bradford, UK</w:t>
      </w:r>
      <w:r>
        <w:br/>
      </w:r>
      <w:r>
        <w:rPr>
          <w:vertAlign w:val="superscript"/>
        </w:rPr>
        <w:t xml:space="preserve">11</w:t>
      </w:r>
      <w:r>
        <w:t xml:space="preserve"> </w:t>
      </w:r>
      <w:r>
        <w:t xml:space="preserve">Department of Preventive Medicine, Keck School of Medicine, University of Southern California, Los Angeles, California, USA</w:t>
      </w:r>
      <w:r>
        <w:br/>
      </w:r>
      <w:r>
        <w:rPr>
          <w:vertAlign w:val="superscript"/>
        </w:rPr>
        <w:t xml:space="preserve">12</w:t>
      </w:r>
      <w:r>
        <w:t xml:space="preserve"> </w:t>
      </w:r>
      <w:r>
        <w:t xml:space="preserve">MRC Centre for Environment and Health, Department of Epidemiology and Biostatistics, School of Public Health, Imperial College London, London, UK</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Martine Vrijheid &lt;martine.vrijheid@isglobal.org&gt;</w:t>
        </w:r>
      </w:hyperlink>
    </w:p>
    <w:p>
      <w:pPr>
        <w:pStyle w:val="Compact"/>
        <w:numPr>
          <w:ilvl w:val="0"/>
          <w:numId w:val="1001"/>
        </w:numPr>
      </w:pPr>
      <w:r>
        <w:t xml:space="preserve">Type of manuscript:</w:t>
      </w:r>
      <w:r>
        <w:t xml:space="preserve"> </w:t>
      </w:r>
      <w:r>
        <w:rPr>
          <w:i/>
          <w:iCs/>
        </w:rPr>
        <w:t xml:space="preserve">Original research article</w:t>
      </w:r>
      <w:r>
        <w:t xml:space="preserve">.</w:t>
      </w:r>
    </w:p>
    <w:p>
      <w:pPr>
        <w:pStyle w:val="Compact"/>
        <w:numPr>
          <w:ilvl w:val="0"/>
          <w:numId w:val="1001"/>
        </w:numPr>
      </w:pPr>
      <w:r>
        <w:t xml:space="preserve">Manuscript title:</w:t>
      </w:r>
      <w:r>
        <w:t xml:space="preserve"> </w:t>
      </w:r>
      <w:r>
        <w:rPr>
          <w:i/>
          <w:iCs/>
        </w:rPr>
        <w:t xml:space="preserve">Childhood exposure to non-persistent endocrine disruptors, glucocorticosteroids, and attentional function: A cross-sectional study based on the parametric g-formula</w:t>
      </w:r>
      <w:r>
        <w:t xml:space="preserve">.</w:t>
      </w:r>
    </w:p>
    <w:p>
      <w:pPr>
        <w:pStyle w:val="Compact"/>
        <w:numPr>
          <w:ilvl w:val="0"/>
          <w:numId w:val="1001"/>
        </w:numPr>
      </w:pPr>
      <w:r>
        <w:t xml:space="preserve">Running head up:</w:t>
      </w:r>
      <w:r>
        <w:t xml:space="preserve"> </w:t>
      </w:r>
      <w:r>
        <w:rPr>
          <w:i/>
          <w:iCs/>
        </w:rPr>
        <w:t xml:space="preserve">Endocrine Disruptors &amp; Childhood Attention</w:t>
      </w:r>
      <w:r>
        <w:t xml:space="preserve">.</w:t>
      </w:r>
    </w:p>
    <w:p>
      <w:pPr>
        <w:pStyle w:val="Compact"/>
        <w:numPr>
          <w:ilvl w:val="0"/>
          <w:numId w:val="1001"/>
        </w:numPr>
      </w:pPr>
      <w:r>
        <w:t xml:space="preserve">Corresponding author: Martine Vrijheid, Doctor Aiguader 88 (08003, Barcelona, Spain), martine.vrijheid@isglobal.org, +34 93 2147350 (Ms Iolanda Molina, personal assistant).</w:t>
      </w:r>
    </w:p>
    <w:bookmarkStart w:id="21" w:name="funding"/>
    <w:p>
      <w:pPr>
        <w:pStyle w:val="Heading2"/>
      </w:pPr>
      <w:r>
        <w:t xml:space="preserve">Funding</w:t>
      </w:r>
    </w:p>
    <w:p>
      <w:pPr>
        <w:pStyle w:val="FirstParagraph"/>
      </w:pPr>
      <w:r>
        <w:t xml:space="preserve">The research leading to these results has received funding from the European Union’s Horizon 2020 research and innovation programme under grant agreements no. 825712 [OBERON] and no. 874583 [ATHLETE].</w:t>
      </w:r>
    </w:p>
    <w:p>
      <w:pPr>
        <w:pStyle w:val="BodyText"/>
      </w:pPr>
      <w:r>
        <w:t xml:space="preserve">Data were collected as part of the European Community’s Seventh Framework Programme (FP7/2007-2013) under grant agreement no 308333 (HELIX).</w:t>
      </w:r>
    </w:p>
    <w:p>
      <w:pPr>
        <w:pStyle w:val="BodyText"/>
      </w:pPr>
      <w:r>
        <w:t xml:space="preserve">Born in Bradford receives funding from a joint grant from the UK Medical Research Council (MRC) and UK Economic and Social Science Research Council (ESRC) [MR/N024391/1]; the British Heart Foundation [CS/16/4/32482]; a Wellcome Infrastructure Grant [WT101597MA]; The National Institute for Health Research under its Applied Research Collaboration for Yorkshire and Humber [NIHR200166]. The views expressed are those of the author(s), and not necessarily those of the NHS, the NIHR or the Department of Health and Social Care.</w:t>
      </w:r>
    </w:p>
    <w:p>
      <w:pPr>
        <w:pStyle w:val="BodyText"/>
      </w:pPr>
      <w:r>
        <w:t xml:space="preserve">The EDEN study was supported by Foundation for medical research (FRM), National Agency for Research (ANR), National Institute for Research in Public health (IRESP: TGIR cohorte santé 2008 program), French Ministry of Health (DGS), French Ministry of Research, INSERM Bone and Joint Diseases National Research (PRO-A), and Human Nutrition National Research Programs, Paris-Sud University, Nestlé, French National Institute for Population Health Surveillance (InVS), French National Institute for Health Education (INPES), the European Union FP7 programmes (FP7/2007–2013, HELIX, ESCAPE, ENRIECO, Medall projects), Diabetes National Research Program (through a collaboration with the French Association of Diabetic Patients (AFD)), French Agency for Environmental Health Safety (now ANSES), Mutuelle Générale de l’Education Nationale a complementary health insurance (MGEN), French national agency for food security, French-speaking association for the study of diabetes and metabolism (ALFEDIAM).</w:t>
      </w:r>
    </w:p>
    <w:p>
      <w:pPr>
        <w:pStyle w:val="BodyText"/>
      </w:pPr>
      <w:r>
        <w:t xml:space="preserve">INMA data collections were supported by grants from the Instituto de Salud Carlos III, CIBERESP, and the Generalitat de Catalunya-CIRIT.</w:t>
      </w:r>
    </w:p>
    <w:p>
      <w:pPr>
        <w:pStyle w:val="BodyText"/>
      </w:pPr>
      <w:r>
        <w:t xml:space="preserve">KANC was funded by the grant of the Lithuanian Agency for Science Innovation and Technology (6-04-2014_31V-66).</w:t>
      </w:r>
    </w:p>
    <w:p>
      <w:pPr>
        <w:pStyle w:val="BodyText"/>
      </w:pPr>
      <w:r>
        <w:t xml:space="preserve">The Norwegian Mother, Father and Child Cohort Study is supported by the Norwegian Ministry of Health and Care Services and the Ministry of Education and Research.</w:t>
      </w:r>
    </w:p>
    <w:p>
      <w:pPr>
        <w:pStyle w:val="BodyText"/>
      </w:pPr>
      <w:r>
        <w:t xml:space="preserve">The Rhea project was financially supported by European projects (EU FP6-2003-Food-3-NewGeneris, EU FP6. STREP Hiwate, EU FP7 ENV.2007.1.2.2.2. Project No 211250 Escape, EU FP7-2008-ENV-1.2.1.4 Envirogenomarkers, EU FP7-HEALTH-2009- single stage CHICOS, EU FP7 ENV.2008.1.2.1.6. Proposal No 226285 ENRIECO, EU- FP7- HEALTH-2012 Proposal No 308333 HELIX), and the Greek Ministry of Health (Program of Prevention of obesity and neurodevelopmental disorders in preschool children, in Heraklion district, Crete, Greece: 2011-2014;</w:t>
      </w:r>
      <w:r>
        <w:t xml:space="preserve"> </w:t>
      </w:r>
      <w:r>
        <w:t xml:space="preserve">“</w:t>
      </w:r>
      <w:r>
        <w:t xml:space="preserve">Rhea Plus</w:t>
      </w:r>
      <w:r>
        <w:t xml:space="preserve">”</w:t>
      </w:r>
      <w:r>
        <w:t xml:space="preserve">: Primary Prevention Program of Environmental Risk Factors for Reproductive Health, and Child Health: 2012-15).</w:t>
      </w:r>
    </w:p>
    <w:p>
      <w:pPr>
        <w:pStyle w:val="BodyText"/>
      </w:pPr>
      <w:r>
        <w:t xml:space="preserve">Oliver Robinson is supported by a UK Research and Innovation Future Leaders Fellowship MR/S03532X/1.</w:t>
      </w:r>
    </w:p>
    <w:p>
      <w:pPr>
        <w:pStyle w:val="BodyText"/>
      </w:pPr>
      <w:r>
        <w:t xml:space="preserve">ISGlobal acknowledges support from the Spanish Ministry of Science and Innovation through the</w:t>
      </w:r>
      <w:r>
        <w:t xml:space="preserve"> </w:t>
      </w:r>
      <w:r>
        <w:t xml:space="preserve">“</w:t>
      </w:r>
      <w:r>
        <w:t xml:space="preserve">Centro de Excelencia Severo Ochoa 2019-2023</w:t>
      </w:r>
      <w:r>
        <w:t xml:space="preserve">”</w:t>
      </w:r>
      <w:r>
        <w:t xml:space="preserve"> </w:t>
      </w:r>
      <w:r>
        <w:t xml:space="preserve">Program (CEX2018-000806-S), and support from the Generalitat de Catalunya through the CERCA Program.</w:t>
      </w:r>
    </w:p>
    <w:bookmarkEnd w:id="21"/>
    <w:bookmarkStart w:id="22" w:name="conflicts-of-interest"/>
    <w:p>
      <w:pPr>
        <w:pStyle w:val="Heading2"/>
      </w:pPr>
      <w:r>
        <w:t xml:space="preserve">Conflicts of Interest</w:t>
      </w:r>
    </w:p>
    <w:p>
      <w:pPr>
        <w:pStyle w:val="FirstParagraph"/>
      </w:pPr>
      <w:r>
        <w:t xml:space="preserve">The authors report no conflicts of interest.</w:t>
      </w:r>
    </w:p>
    <w:bookmarkEnd w:id="22"/>
    <w:bookmarkStart w:id="23" w:name="data-sharing-and-code"/>
    <w:p>
      <w:pPr>
        <w:pStyle w:val="Heading2"/>
      </w:pPr>
      <w:r>
        <w:t xml:space="preserve">Data Sharing and Code</w:t>
      </w:r>
    </w:p>
    <w:p>
      <w:pPr>
        <w:pStyle w:val="FirstParagraph"/>
      </w:pPr>
      <w:r>
        <w:t xml:space="preserve">Access to HELIX data is based on approval by the HELIX Project Executive Committee and by the individual cohorts. Further details on the content of the data warehouse (data catalog) and procedures for external access are described on the project website (http://www.projecthelix.eu/index.php/es/data-inventory).</w:t>
      </w:r>
    </w:p>
    <w:p>
      <w:pPr>
        <w:pStyle w:val="BodyText"/>
      </w:pPr>
      <w:r>
        <w:t xml:space="preserve">The R code to reproduce analyses and results is available online (https://github.com/lorenzoFabbri/paper-helixSC-neuro).</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rtine.vrijheid@isglobal.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artine.vrijheid@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creator>Lorenzo Fabbri1,2,3, Oliver Robinson12, Xavier Basagaña1,2,3, Leda Chatzi11, Regina Gražulevičienė5, Mònica Guxens1,2,3,7, Manik Kadawathagedara8, Amrit Kaur Sakhi6, Léa Maitre1,3, Rosemary McEachan10, Claire Philippat9, Óscar J Pozo4, Cathrine Thomsen6, John Wright10, Tiffany Yang10, and Martine Vrijheid1,2,3,✉</dc:creator>
  <cp:keywords/>
  <dcterms:created xsi:type="dcterms:W3CDTF">2024-08-12T12:06:51Z</dcterms:created>
  <dcterms:modified xsi:type="dcterms:W3CDTF">2024-08-12T12:06:51Z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ffiliation">
    <vt:lpwstr/>
  </property>
  <property fmtid="{D5CDD505-2E9C-101B-9397-08002B2CF9AE}" pid="5" name="by-author">
    <vt:lpwstr/>
  </property>
  <property fmtid="{D5CDD505-2E9C-101B-9397-08002B2CF9AE}" pid="6" name="editor_option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linkcolor">
    <vt:lpwstr>blue</vt:lpwstr>
  </property>
  <property fmtid="{D5CDD505-2E9C-101B-9397-08002B2CF9AE}" pid="13" name="toc-title">
    <vt:lpwstr>Table of contents</vt:lpwstr>
  </property>
</Properties>
</file>