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60"/>
      </w:pPr>
      <w:r>
        <w:rPr>
          <w:b/>
          <w:color w:val="1B2A4A"/>
          <w:sz w:val="40"/>
        </w:rPr>
        <w:t>Offerte – Slimme Documentenflow</w:t>
      </w:r>
    </w:p>
    <w:p>
      <w:pPr>
        <w:pBdr>
          <w:bottom w:val="single" w:sz="10" w:space="6" w:color="2AA9A0"/>
        </w:pBdr>
        <w:spacing w:after="160"/>
      </w:pPr>
      <w:r>
        <w:rPr>
          <w:color w:val="6B7280"/>
          <w:sz w:val="20"/>
        </w:rPr>
        <w:t>Vrijblijvend voorstel voor Slimme Documentenflow — pakket START, GROEI, PRO of MAATWERK</w:t>
      </w:r>
    </w:p>
    <w:p/>
    <w:tbl>
      <w:tblPr>
        <w:tblW w:type="auto" w:w="0"/>
        <w:tblLook w:firstColumn="1" w:firstRow="1" w:lastColumn="0" w:lastRow="0" w:noHBand="0" w:noVBand="1" w:val="04A0"/>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Pr>
      <w:tblGrid>
        <w:gridCol w:w="4513"/>
        <w:gridCol w:w="4513"/>
      </w:tblGrid>
      <w:tr>
        <w:tc>
          <w:tcPr>
            <w:tcW w:type="dxa" w:w="4513"/>
            <w:shd w:val="clear" w:color="auto" w:fill="F3F5F7"/>
          </w:tcPr>
          <w:p>
            <w:r/>
            <w:r>
              <w:rPr>
                <w:b/>
                <w:sz w:val="20"/>
              </w:rPr>
              <w:t>Offertenummer</w:t>
            </w:r>
          </w:p>
        </w:tc>
        <w:tc>
          <w:tcPr>
            <w:tcW w:type="dxa" w:w="4513"/>
          </w:tcPr>
          <w:p>
            <w:r/>
            <w:r>
              <w:rPr>
                <w:sz w:val="20"/>
              </w:rPr>
              <w:t>___________________________</w:t>
            </w:r>
          </w:p>
        </w:tc>
      </w:tr>
      <w:tr>
        <w:tc>
          <w:tcPr>
            <w:tcW w:type="dxa" w:w="4513"/>
            <w:shd w:val="clear" w:color="auto" w:fill="F3F5F7"/>
          </w:tcPr>
          <w:p>
            <w:r/>
            <w:r>
              <w:rPr>
                <w:b/>
                <w:sz w:val="20"/>
              </w:rPr>
              <w:t>Datum</w:t>
            </w:r>
          </w:p>
        </w:tc>
        <w:tc>
          <w:tcPr>
            <w:tcW w:type="dxa" w:w="4513"/>
          </w:tcPr>
          <w:p>
            <w:r/>
            <w:r>
              <w:rPr>
                <w:sz w:val="20"/>
              </w:rPr>
              <w:t>___________________________</w:t>
            </w:r>
          </w:p>
        </w:tc>
      </w:tr>
      <w:tr>
        <w:tc>
          <w:tcPr>
            <w:tcW w:type="dxa" w:w="4513"/>
            <w:shd w:val="clear" w:color="auto" w:fill="F3F5F7"/>
          </w:tcPr>
          <w:p>
            <w:r/>
            <w:r>
              <w:rPr>
                <w:b/>
                <w:sz w:val="20"/>
              </w:rPr>
              <w:t>Geldig tot</w:t>
            </w:r>
          </w:p>
        </w:tc>
        <w:tc>
          <w:tcPr>
            <w:tcW w:type="dxa" w:w="4513"/>
          </w:tcPr>
          <w:p>
            <w:r/>
            <w:r>
              <w:rPr>
                <w:sz w:val="20"/>
              </w:rPr>
              <w:t>___________________________ (standaard 30 kalenderdagen na offertedatum, conform Algemene Voorwaarden art. 2, tenzij hierboven anders vermeld)</w:t>
            </w:r>
          </w:p>
        </w:tc>
      </w:tr>
      <w:tr>
        <w:tc>
          <w:tcPr>
            <w:tcW w:type="dxa" w:w="4513"/>
            <w:shd w:val="clear" w:color="auto" w:fill="F3F5F7"/>
          </w:tcPr>
          <w:p>
            <w:r/>
            <w:r>
              <w:rPr>
                <w:b/>
                <w:sz w:val="20"/>
              </w:rPr>
              <w:t>Contactpersoon Lorenzo Web Solutions</w:t>
            </w:r>
          </w:p>
        </w:tc>
        <w:tc>
          <w:tcPr>
            <w:tcW w:type="dxa" w:w="4513"/>
          </w:tcPr>
          <w:p>
            <w:r/>
            <w:r>
              <w:rPr>
                <w:sz w:val="20"/>
              </w:rPr>
              <w:t>Lorenzo Bombello</w:t>
            </w:r>
          </w:p>
        </w:tc>
      </w:tr>
    </w:tbl>
    <w:p/>
    <w:p>
      <w:pPr>
        <w:pStyle w:val="Kop2"/>
      </w:pPr>
      <w:r>
        <w:t>Klantgegevens</w:t>
      </w:r>
    </w:p>
    <w:tbl>
      <w:tblPr>
        <w:tblW w:type="auto" w:w="0"/>
        <w:tblLook w:firstColumn="1" w:firstRow="1" w:lastColumn="0" w:lastRow="0" w:noHBand="0" w:noVBand="1" w:val="04A0"/>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Pr>
      <w:tblGrid>
        <w:gridCol w:w="4513"/>
        <w:gridCol w:w="4513"/>
      </w:tblGrid>
      <w:tr>
        <w:tc>
          <w:tcPr>
            <w:tcW w:type="dxa" w:w="4513"/>
            <w:shd w:val="clear" w:color="auto" w:fill="2AA9A0"/>
          </w:tcPr>
          <w:p>
            <w:r/>
            <w:r>
              <w:rPr>
                <w:b/>
                <w:color w:val="FFFFFF"/>
                <w:sz w:val="20"/>
              </w:rPr>
            </w:r>
          </w:p>
        </w:tc>
        <w:tc>
          <w:tcPr>
            <w:tcW w:type="dxa" w:w="4513"/>
            <w:shd w:val="clear" w:color="auto" w:fill="2AA9A0"/>
          </w:tcPr>
          <w:p>
            <w:r/>
            <w:r>
              <w:rPr>
                <w:b/>
                <w:color w:val="FFFFFF"/>
                <w:sz w:val="20"/>
              </w:rPr>
              <w:t>KLANTGEGEVENS</w:t>
            </w:r>
          </w:p>
        </w:tc>
      </w:tr>
      <w:tr>
        <w:tc>
          <w:tcPr>
            <w:tcW w:type="dxa" w:w="4513"/>
          </w:tcPr>
          <w:p>
            <w:r/>
            <w:r>
              <w:rPr>
                <w:b/>
                <w:sz w:val="20"/>
              </w:rPr>
              <w:t>Naam onderneming / persoon</w:t>
            </w:r>
          </w:p>
        </w:tc>
        <w:tc>
          <w:tcPr>
            <w:tcW w:type="dxa" w:w="4513"/>
          </w:tcPr>
          <w:p>
            <w:r/>
            <w:r>
              <w:rPr>
                <w:sz w:val="20"/>
              </w:rPr>
            </w:r>
          </w:p>
        </w:tc>
      </w:tr>
      <w:tr>
        <w:tc>
          <w:tcPr>
            <w:tcW w:type="dxa" w:w="4513"/>
          </w:tcPr>
          <w:p>
            <w:r/>
            <w:r>
              <w:rPr>
                <w:b/>
                <w:sz w:val="20"/>
              </w:rPr>
              <w:t>Ondernemingsnummer (indien van toepassing)</w:t>
            </w:r>
          </w:p>
        </w:tc>
        <w:tc>
          <w:tcPr>
            <w:tcW w:type="dxa" w:w="4513"/>
          </w:tcPr>
          <w:p>
            <w:r/>
            <w:r>
              <w:rPr>
                <w:sz w:val="20"/>
              </w:rPr>
            </w:r>
          </w:p>
        </w:tc>
      </w:tr>
      <w:tr>
        <w:tc>
          <w:tcPr>
            <w:tcW w:type="dxa" w:w="4513"/>
          </w:tcPr>
          <w:p>
            <w:r/>
            <w:r>
              <w:rPr>
                <w:b/>
                <w:sz w:val="20"/>
              </w:rPr>
              <w:t>BTW-nummer (indien van toepassing)</w:t>
            </w:r>
          </w:p>
        </w:tc>
        <w:tc>
          <w:tcPr>
            <w:tcW w:type="dxa" w:w="4513"/>
          </w:tcPr>
          <w:p>
            <w:r/>
            <w:r>
              <w:rPr>
                <w:sz w:val="20"/>
              </w:rPr>
            </w:r>
          </w:p>
        </w:tc>
      </w:tr>
      <w:tr>
        <w:tc>
          <w:tcPr>
            <w:tcW w:type="dxa" w:w="4513"/>
          </w:tcPr>
          <w:p>
            <w:r/>
            <w:r>
              <w:rPr>
                <w:b/>
                <w:sz w:val="20"/>
              </w:rPr>
              <w:t>Adres</w:t>
            </w:r>
          </w:p>
        </w:tc>
        <w:tc>
          <w:tcPr>
            <w:tcW w:type="dxa" w:w="4513"/>
          </w:tcPr>
          <w:p>
            <w:r/>
            <w:r>
              <w:rPr>
                <w:sz w:val="20"/>
              </w:rPr>
            </w:r>
          </w:p>
        </w:tc>
      </w:tr>
      <w:tr>
        <w:tc>
          <w:tcPr>
            <w:tcW w:type="dxa" w:w="4513"/>
          </w:tcPr>
          <w:p>
            <w:r/>
            <w:r>
              <w:rPr>
                <w:b/>
                <w:sz w:val="20"/>
              </w:rPr>
              <w:t>Land</w:t>
            </w:r>
          </w:p>
        </w:tc>
        <w:tc>
          <w:tcPr>
            <w:tcW w:type="dxa" w:w="4513"/>
          </w:tcPr>
          <w:p>
            <w:r/>
            <w:r>
              <w:rPr>
                <w:sz w:val="20"/>
              </w:rPr>
            </w:r>
          </w:p>
        </w:tc>
      </w:tr>
      <w:tr>
        <w:tc>
          <w:tcPr>
            <w:tcW w:type="dxa" w:w="4513"/>
          </w:tcPr>
          <w:p>
            <w:r/>
            <w:r>
              <w:rPr>
                <w:b/>
                <w:sz w:val="20"/>
              </w:rPr>
              <w:t>Contactpersoon</w:t>
            </w:r>
          </w:p>
        </w:tc>
        <w:tc>
          <w:tcPr>
            <w:tcW w:type="dxa" w:w="4513"/>
          </w:tcPr>
          <w:p>
            <w:r/>
            <w:r>
              <w:rPr>
                <w:sz w:val="20"/>
              </w:rPr>
            </w:r>
          </w:p>
        </w:tc>
      </w:tr>
      <w:tr>
        <w:tc>
          <w:tcPr>
            <w:tcW w:type="dxa" w:w="4513"/>
          </w:tcPr>
          <w:p>
            <w:r/>
            <w:r>
              <w:rPr>
                <w:b/>
                <w:sz w:val="20"/>
              </w:rPr>
              <w:t>E-mailadres</w:t>
            </w:r>
          </w:p>
        </w:tc>
        <w:tc>
          <w:tcPr>
            <w:tcW w:type="dxa" w:w="4513"/>
          </w:tcPr>
          <w:p>
            <w:r/>
            <w:r>
              <w:rPr>
                <w:sz w:val="20"/>
              </w:rPr>
            </w:r>
          </w:p>
        </w:tc>
      </w:tr>
    </w:tbl>
    <w:p/>
    <w:p>
      <w:pPr>
        <w:pStyle w:val="Kop2"/>
      </w:pPr>
      <w:r>
        <w:t>Projectomschrijving</w:t>
      </w:r>
    </w:p>
    <w:p>
      <w:pPr>
        <w:spacing w:after="160"/>
      </w:pPr>
      <w:r>
        <w:rPr>
          <w:b w:val="0"/>
          <w:i w:val="0"/>
          <w:sz w:val="21"/>
        </w:rPr>
        <w:t>Korte omschrijving van de administratieve documentstroom(en) die met Slimme Documentenflow worden geautomatiseerd, de doelstellingen en de gewenste oplevering:</w:t>
      </w:r>
    </w:p>
    <w:p>
      <w:pPr>
        <w:spacing w:after="160"/>
      </w:pPr>
      <w:r>
        <w:rPr>
          <w:b w:val="0"/>
          <w:i w:val="0"/>
          <w:sz w:val="21"/>
        </w:rPr>
        <w:t>___________________________</w:t>
      </w:r>
    </w:p>
    <w:p/>
    <w:p>
      <w:pPr>
        <w:pStyle w:val="Kop2"/>
      </w:pPr>
      <w:r>
        <w:t>Gekozen pakket</w:t>
      </w:r>
    </w:p>
    <w:p>
      <w:pPr>
        <w:spacing w:after="160"/>
      </w:pPr>
      <w:r>
        <w:rPr>
          <w:b w:val="0"/>
          <w:i w:val="0"/>
          <w:sz w:val="21"/>
        </w:rPr>
        <w:t>Duid hieronder het gekozen pakket aan. Bedragen zijn vastgelegd in de Master Product Price Catalog (Prijsstrategie) en mogen niet worden gewijzigd zonder aparte goedkeuring; enkel het MAATWERK-bedrag wordt per geval ingevuld.</w:t>
      </w:r>
    </w:p>
    <w:tbl>
      <w:tblPr>
        <w:tblW w:type="auto" w:w="0"/>
        <w:tblLook w:firstColumn="1" w:firstRow="1" w:lastColumn="0" w:lastRow="0" w:noHBand="0" w:noVBand="1" w:val="04A0"/>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Pr>
      <w:tblGrid>
        <w:gridCol w:w="2256"/>
        <w:gridCol w:w="2256"/>
        <w:gridCol w:w="2256"/>
        <w:gridCol w:w="2256"/>
      </w:tblGrid>
      <w:tr>
        <w:tc>
          <w:tcPr>
            <w:tcW w:type="dxa" w:w="2256"/>
            <w:shd w:val="clear" w:color="auto" w:fill="1B2A4A"/>
          </w:tcPr>
          <w:p>
            <w:r/>
            <w:r>
              <w:rPr>
                <w:b/>
                <w:color w:val="FFFFFF"/>
                <w:sz w:val="20"/>
              </w:rPr>
              <w:t>Pakket</w:t>
            </w:r>
          </w:p>
        </w:tc>
        <w:tc>
          <w:tcPr>
            <w:tcW w:type="dxa" w:w="2256"/>
            <w:shd w:val="clear" w:color="auto" w:fill="1B2A4A"/>
          </w:tcPr>
          <w:p>
            <w:r/>
            <w:r>
              <w:rPr>
                <w:b/>
                <w:color w:val="FFFFFF"/>
                <w:sz w:val="20"/>
              </w:rPr>
              <w:t>Eenmalige implementatie (excl. btw)</w:t>
            </w:r>
          </w:p>
        </w:tc>
        <w:tc>
          <w:tcPr>
            <w:tcW w:type="dxa" w:w="2256"/>
            <w:shd w:val="clear" w:color="auto" w:fill="1B2A4A"/>
          </w:tcPr>
          <w:p>
            <w:r/>
            <w:r>
              <w:rPr>
                <w:b/>
                <w:color w:val="FFFFFF"/>
                <w:sz w:val="20"/>
              </w:rPr>
              <w:t>Recurrente dienstverlening (excl. btw)</w:t>
            </w:r>
          </w:p>
        </w:tc>
        <w:tc>
          <w:tcPr>
            <w:tcW w:type="dxa" w:w="2256"/>
            <w:shd w:val="clear" w:color="auto" w:fill="1B2A4A"/>
          </w:tcPr>
          <w:p>
            <w:r/>
            <w:r>
              <w:rPr>
                <w:b/>
                <w:color w:val="FFFFFF"/>
                <w:sz w:val="20"/>
              </w:rPr>
              <w:t>Aangeduid</w:t>
            </w:r>
          </w:p>
        </w:tc>
      </w:tr>
      <w:tr>
        <w:tc>
          <w:tcPr>
            <w:tcW w:type="dxa" w:w="2256"/>
          </w:tcPr>
          <w:p>
            <w:r/>
            <w:r>
              <w:rPr>
                <w:sz w:val="20"/>
              </w:rPr>
              <w:t>START</w:t>
            </w:r>
          </w:p>
        </w:tc>
        <w:tc>
          <w:tcPr>
            <w:tcW w:type="dxa" w:w="2256"/>
          </w:tcPr>
          <w:p>
            <w:r/>
            <w:r>
              <w:rPr>
                <w:sz w:val="20"/>
              </w:rPr>
              <w:t>€ 2.850</w:t>
            </w:r>
          </w:p>
        </w:tc>
        <w:tc>
          <w:tcPr>
            <w:tcW w:type="dxa" w:w="2256"/>
          </w:tcPr>
          <w:p>
            <w:r/>
            <w:r>
              <w:rPr>
                <w:sz w:val="20"/>
              </w:rPr>
              <w:t>€ 175 / maand</w:t>
            </w:r>
          </w:p>
        </w:tc>
        <w:tc>
          <w:tcPr>
            <w:tcW w:type="dxa" w:w="2256"/>
          </w:tcPr>
          <w:p>
            <w:r/>
            <w:r>
              <w:rPr>
                <w:sz w:val="20"/>
              </w:rPr>
              <w:t>☐</w:t>
            </w:r>
          </w:p>
        </w:tc>
      </w:tr>
      <w:tr>
        <w:tc>
          <w:tcPr>
            <w:tcW w:type="dxa" w:w="2256"/>
          </w:tcPr>
          <w:p>
            <w:r/>
            <w:r>
              <w:rPr>
                <w:sz w:val="20"/>
              </w:rPr>
              <w:t>GROEI</w:t>
            </w:r>
          </w:p>
        </w:tc>
        <w:tc>
          <w:tcPr>
            <w:tcW w:type="dxa" w:w="2256"/>
          </w:tcPr>
          <w:p>
            <w:r/>
            <w:r>
              <w:rPr>
                <w:sz w:val="20"/>
              </w:rPr>
              <w:t>€ 5.700</w:t>
            </w:r>
          </w:p>
        </w:tc>
        <w:tc>
          <w:tcPr>
            <w:tcW w:type="dxa" w:w="2256"/>
          </w:tcPr>
          <w:p>
            <w:r/>
            <w:r>
              <w:rPr>
                <w:sz w:val="20"/>
              </w:rPr>
              <w:t>€ 299 / maand</w:t>
            </w:r>
          </w:p>
        </w:tc>
        <w:tc>
          <w:tcPr>
            <w:tcW w:type="dxa" w:w="2256"/>
          </w:tcPr>
          <w:p>
            <w:r/>
            <w:r>
              <w:rPr>
                <w:sz w:val="20"/>
              </w:rPr>
              <w:t>☐</w:t>
            </w:r>
          </w:p>
        </w:tc>
      </w:tr>
      <w:tr>
        <w:tc>
          <w:tcPr>
            <w:tcW w:type="dxa" w:w="2256"/>
          </w:tcPr>
          <w:p>
            <w:r/>
            <w:r>
              <w:rPr>
                <w:rFonts w:ascii="Calibri" w:hAnsi="Calibri"/>
                <w:color w:val="2B2B2B"/>
                <w:sz w:val="20"/>
              </w:rPr>
              <w:t>PRO</w:t>
            </w:r>
          </w:p>
        </w:tc>
        <w:tc>
          <w:tcPr>
            <w:tcW w:type="dxa" w:w="2256"/>
          </w:tcPr>
          <w:p>
            <w:r/>
            <w:r>
              <w:rPr>
                <w:rFonts w:ascii="Calibri" w:hAnsi="Calibri"/>
                <w:color w:val="2B2B2B"/>
                <w:sz w:val="20"/>
              </w:rPr>
              <w:t>€ 7.500</w:t>
            </w:r>
          </w:p>
        </w:tc>
        <w:tc>
          <w:tcPr>
            <w:tcW w:type="dxa" w:w="2256"/>
          </w:tcPr>
          <w:p>
            <w:r/>
            <w:r>
              <w:rPr>
                <w:rFonts w:ascii="Calibri" w:hAnsi="Calibri"/>
                <w:color w:val="2B2B2B"/>
                <w:sz w:val="20"/>
              </w:rPr>
              <w:t>€ 449 / maand</w:t>
            </w:r>
          </w:p>
        </w:tc>
        <w:tc>
          <w:tcPr>
            <w:tcW w:type="dxa" w:w="2256"/>
          </w:tcPr>
          <w:p>
            <w:r/>
            <w:r>
              <w:rPr>
                <w:rFonts w:ascii="Calibri" w:hAnsi="Calibri"/>
                <w:color w:val="2B2B2B"/>
                <w:sz w:val="20"/>
              </w:rPr>
              <w:t>☐</w:t>
            </w:r>
          </w:p>
        </w:tc>
      </w:tr>
      <w:tr>
        <w:tc>
          <w:tcPr>
            <w:tcW w:type="dxa" w:w="2256"/>
          </w:tcPr>
          <w:p>
            <w:r/>
            <w:r>
              <w:rPr>
                <w:sz w:val="20"/>
              </w:rPr>
              <w:t>MAATWERK</w:t>
            </w:r>
          </w:p>
        </w:tc>
        <w:tc>
          <w:tcPr>
            <w:tcW w:type="dxa" w:w="2256"/>
          </w:tcPr>
          <w:p>
            <w:r/>
            <w:r>
              <w:rPr>
                <w:rFonts w:ascii="Calibri" w:hAnsi="Calibri"/>
                <w:color w:val="2B2B2B"/>
                <w:sz w:val="20"/>
              </w:rPr>
              <w:t>Geen vaste pakketprijs — concreet bedrag na beoordeling: _______</w:t>
            </w:r>
          </w:p>
        </w:tc>
        <w:tc>
          <w:tcPr>
            <w:tcW w:type="dxa" w:w="2256"/>
          </w:tcPr>
          <w:p>
            <w:r/>
            <w:r>
              <w:rPr>
                <w:rFonts w:ascii="Calibri" w:hAnsi="Calibri"/>
                <w:color w:val="2B2B2B"/>
                <w:sz w:val="20"/>
              </w:rPr>
              <w:t>Geen vaste pakketprijs — concreet bedrag na beoordeling: _______</w:t>
            </w:r>
          </w:p>
        </w:tc>
        <w:tc>
          <w:tcPr>
            <w:tcW w:type="dxa" w:w="2256"/>
          </w:tcPr>
          <w:p>
            <w:r/>
            <w:r>
              <w:rPr>
                <w:sz w:val="20"/>
              </w:rPr>
              <w:t>☐</w:t>
            </w:r>
          </w:p>
        </w:tc>
      </w:tr>
    </w:tbl>
    <w:p>
      <w:pPr>
        <w:spacing w:after="160"/>
      </w:pPr>
      <w:r>
        <w:rPr>
          <w:rFonts w:ascii="Calibri" w:hAnsi="Calibri"/>
          <w:b w:val="0"/>
          <w:i/>
          <w:color w:val="6B7280"/>
          <w:sz w:val="20"/>
        </w:rPr>
        <w:t>PRO is een vast pakket met vaste implementatie- en recurrente prijs, zoals hierboven vermeld. MAATWERK heeft geen vaste pakketprijs: dit is een verplichte beoordelingsroute die van toepassing is bij overschrijding van de PRO-grenzen (zie de capaciteitstabel hieronder) of bij uitzonderlijke/complexe scope. Het definitieve bedrag wordt per geval bepaald na technische en commerciële beoordeling; bekende vaste meerwerkcomponenten (zie Meerwerkprijzen hieronder) blijven meetellen en worden niet naar €0 herleid.</w:t>
      </w:r>
    </w:p>
    <w:p>
      <w:pPr>
        <w:pStyle w:val="Kop2"/>
      </w:pPr>
      <w:r>
        <w:t>Capaciteitsgrenzen per pakket</w:t>
      </w:r>
    </w:p>
    <w:p>
      <w:r>
        <w:rPr>
          <w:rFonts w:ascii="Calibri" w:hAnsi="Calibri"/>
          <w:i w:val="0"/>
          <w:color w:val="2B2B2B"/>
          <w:sz w:val="20"/>
        </w:rPr>
        <w:t>De onderstaande grenzen zijn vastgelegd in de SDF Budget Guard — Price &amp; Scope Authority (30 augustus 2026) en gelden als harde commerciële grenzen (hard commercial freeze) totdat Lorenzo deze expliciet wijzigt. Overschrijding van één van deze dimensies vereist minimaal het eerstvolgende hogere pakket; boven de PRO-grenzen of bij uitzonderlijke complexiteit geldt MAATWERK.</w:t>
      </w:r>
    </w:p>
    <w:tbl>
      <w:tblPr>
        <w:tblW w:type="auto" w:w="0"/>
        <w:tblLayout w:type="autofit"/>
        <w:tblLook w:firstColumn="1" w:firstRow="1" w:lastColumn="0" w:lastRow="0" w:noHBand="0" w:noVBand="1" w:val="04A0"/>
      </w:tblPr>
      <w:tblGrid>
        <w:gridCol w:w="1805"/>
        <w:gridCol w:w="1805"/>
        <w:gridCol w:w="1805"/>
        <w:gridCol w:w="1805"/>
        <w:gridCol w:w="1805"/>
      </w:tblGrid>
      <w:tr>
        <w:tc>
          <w:tcPr>
            <w:tcW w:type="dxa" w:w="1805"/>
            <w:tcBorders>
              <w:top w:val="single" w:sz="4" w:space="0" w:color="C9CFD8"/>
              <w:left w:val="single" w:sz="4" w:space="0" w:color="C9CFD8"/>
              <w:bottom w:val="single" w:sz="4" w:space="0" w:color="C9CFD8"/>
              <w:right w:val="single" w:sz="4" w:space="0" w:color="C9CFD8"/>
            </w:tcBorders>
            <w:shd w:val="clear" w:color="auto" w:fill="1B2A4A"/>
          </w:tcPr>
          <w:p>
            <w:r/>
            <w:r>
              <w:rPr>
                <w:rFonts w:ascii="Calibri" w:hAnsi="Calibri"/>
                <w:b/>
                <w:color w:val="FFFFFF"/>
                <w:sz w:val="20"/>
              </w:rPr>
              <w:t>Pakket</w:t>
            </w:r>
          </w:p>
        </w:tc>
        <w:tc>
          <w:tcPr>
            <w:tcW w:type="dxa" w:w="1805"/>
            <w:tcBorders>
              <w:top w:val="single" w:sz="4" w:space="0" w:color="C9CFD8"/>
              <w:left w:val="single" w:sz="4" w:space="0" w:color="C9CFD8"/>
              <w:bottom w:val="single" w:sz="4" w:space="0" w:color="C9CFD8"/>
              <w:right w:val="single" w:sz="4" w:space="0" w:color="C9CFD8"/>
            </w:tcBorders>
            <w:shd w:val="clear" w:color="auto" w:fill="1B2A4A"/>
          </w:tcPr>
          <w:p>
            <w:r/>
            <w:r>
              <w:rPr>
                <w:rFonts w:ascii="Calibri" w:hAnsi="Calibri"/>
                <w:b/>
                <w:color w:val="FFFFFF"/>
                <w:sz w:val="20"/>
              </w:rPr>
              <w:t>Documentflows</w:t>
            </w:r>
          </w:p>
        </w:tc>
        <w:tc>
          <w:tcPr>
            <w:tcW w:type="dxa" w:w="1805"/>
            <w:tcBorders>
              <w:top w:val="single" w:sz="4" w:space="0" w:color="C9CFD8"/>
              <w:left w:val="single" w:sz="4" w:space="0" w:color="C9CFD8"/>
              <w:bottom w:val="single" w:sz="4" w:space="0" w:color="C9CFD8"/>
              <w:right w:val="single" w:sz="4" w:space="0" w:color="C9CFD8"/>
            </w:tcBorders>
            <w:shd w:val="clear" w:color="auto" w:fill="1B2A4A"/>
          </w:tcPr>
          <w:p>
            <w:r/>
            <w:r>
              <w:rPr>
                <w:rFonts w:ascii="Calibri" w:hAnsi="Calibri"/>
                <w:b/>
                <w:color w:val="FFFFFF"/>
                <w:sz w:val="20"/>
              </w:rPr>
              <w:t>Documenttypes/templates</w:t>
            </w:r>
          </w:p>
        </w:tc>
        <w:tc>
          <w:tcPr>
            <w:tcW w:type="dxa" w:w="1805"/>
            <w:tcBorders>
              <w:top w:val="single" w:sz="4" w:space="0" w:color="C9CFD8"/>
              <w:left w:val="single" w:sz="4" w:space="0" w:color="C9CFD8"/>
              <w:bottom w:val="single" w:sz="4" w:space="0" w:color="C9CFD8"/>
              <w:right w:val="single" w:sz="4" w:space="0" w:color="C9CFD8"/>
            </w:tcBorders>
            <w:shd w:val="clear" w:color="auto" w:fill="1B2A4A"/>
          </w:tcPr>
          <w:p>
            <w:r/>
            <w:r>
              <w:rPr>
                <w:rFonts w:ascii="Calibri" w:hAnsi="Calibri"/>
                <w:b/>
                <w:color w:val="FFFFFF"/>
                <w:sz w:val="20"/>
              </w:rPr>
              <w:t>Volume/maand</w:t>
            </w:r>
          </w:p>
        </w:tc>
        <w:tc>
          <w:tcPr>
            <w:tcW w:type="dxa" w:w="1805"/>
            <w:tcBorders>
              <w:top w:val="single" w:sz="4" w:space="0" w:color="C9CFD8"/>
              <w:left w:val="single" w:sz="4" w:space="0" w:color="C9CFD8"/>
              <w:bottom w:val="single" w:sz="4" w:space="0" w:color="C9CFD8"/>
              <w:right w:val="single" w:sz="4" w:space="0" w:color="C9CFD8"/>
            </w:tcBorders>
            <w:shd w:val="clear" w:color="auto" w:fill="1B2A4A"/>
          </w:tcPr>
          <w:p>
            <w:r/>
            <w:r>
              <w:rPr>
                <w:rFonts w:ascii="Calibri" w:hAnsi="Calibri"/>
                <w:b/>
                <w:color w:val="FFFFFF"/>
                <w:sz w:val="20"/>
              </w:rPr>
              <w:t>Gebruikers</w:t>
            </w:r>
          </w:p>
        </w:tc>
      </w:tr>
      <w:tr>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START</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1</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2</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500 pagina's</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3</w:t>
            </w:r>
          </w:p>
        </w:tc>
      </w:tr>
      <w:tr>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GROEI</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3</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5</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2.500 pagina's</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10</w:t>
            </w:r>
          </w:p>
        </w:tc>
      </w:tr>
      <w:tr>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PRO</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6</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10</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7.500 pagina's</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max. 25</w:t>
            </w:r>
          </w:p>
        </w:tc>
      </w:tr>
      <w:tr>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MAATWERK</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boven PRO-grenzen</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boven PRO-grenzen</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boven PRO-grenzen</w:t>
            </w:r>
          </w:p>
        </w:tc>
        <w:tc>
          <w:tcPr>
            <w:tcW w:type="dxa" w:w="1805"/>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boven PRO-grenzen</w:t>
            </w:r>
          </w:p>
        </w:tc>
      </w:tr>
    </w:tbl>
    <w:p/>
    <w:p>
      <w:pPr>
        <w:pStyle w:val="Kop2"/>
      </w:pPr>
      <w:r>
        <w:t>Overeengekomen scope</w:t>
      </w:r>
    </w:p>
    <w:p>
      <w:pPr>
        <w:spacing w:after="160"/>
      </w:pPr>
      <w:r>
        <w:rPr>
          <w:rFonts w:ascii="Calibri" w:hAnsi="Calibri"/>
          <w:b w:val="0"/>
          <w:i w:val="0"/>
          <w:color w:val="2B2B2B"/>
          <w:sz w:val="20"/>
        </w:rPr>
        <w:t>De capaciteitsgrenzen per pakket voor documentflows, documenttypes, verwerkingsvolume en gebruikers zijn vastgelegd in de tabel hierboven (Capaciteitsgrenzen per pakket). Overige scope-elementen (opslag, opleidingsuren, integraties buiten de meerwerkprijzen hieronder) zijn nog niet afzonderlijk autoritatief vastgelegd. Tot dat wel het geval is, geldt voor die overige elementen: scope volgens onderstaande concrete omschrijving voor déze offerte.</w:t>
      </w:r>
    </w:p>
    <w:tbl>
      <w:tblPr>
        <w:tblW w:type="auto" w:w="0"/>
        <w:tblLook w:firstColumn="1" w:firstRow="1" w:lastColumn="0" w:lastRow="0" w:noHBand="0" w:noVBand="1" w:val="04A0"/>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Pr>
      <w:tblGrid>
        <w:gridCol w:w="4513"/>
        <w:gridCol w:w="4513"/>
      </w:tblGrid>
      <w:tr>
        <w:tc>
          <w:tcPr>
            <w:tcW w:type="dxa" w:w="4513"/>
            <w:shd w:val="clear" w:color="auto" w:fill="F3F5F7"/>
          </w:tcPr>
          <w:p>
            <w:r/>
            <w:r>
              <w:rPr>
                <w:b/>
                <w:sz w:val="20"/>
              </w:rPr>
              <w:t>Onderdeel</w:t>
            </w:r>
          </w:p>
        </w:tc>
        <w:tc>
          <w:tcPr>
            <w:tcW w:type="dxa" w:w="4513"/>
            <w:shd w:val="clear" w:color="auto" w:fill="F3F5F7"/>
          </w:tcPr>
          <w:p>
            <w:r/>
            <w:r>
              <w:rPr>
                <w:b/>
                <w:sz w:val="20"/>
              </w:rPr>
              <w:t>Omschrijving voor deze offerte</w:t>
            </w:r>
          </w:p>
        </w:tc>
      </w:tr>
      <w:tr>
        <w:tc>
          <w:tcPr>
            <w:tcW w:type="dxa" w:w="4513"/>
          </w:tcPr>
          <w:p>
            <w:r/>
            <w:r>
              <w:rPr>
                <w:sz w:val="20"/>
              </w:rPr>
              <w:t>Documentflows</w:t>
            </w:r>
          </w:p>
        </w:tc>
        <w:tc>
          <w:tcPr>
            <w:tcW w:type="dxa" w:w="4513"/>
          </w:tcPr>
          <w:p>
            <w:r/>
            <w:r>
              <w:rPr>
                <w:sz w:val="20"/>
              </w:rPr>
              <w:t>___________________________</w:t>
            </w:r>
          </w:p>
        </w:tc>
      </w:tr>
      <w:tr>
        <w:tc>
          <w:tcPr>
            <w:tcW w:type="dxa" w:w="4513"/>
          </w:tcPr>
          <w:p>
            <w:r/>
            <w:r>
              <w:rPr>
                <w:rFonts w:ascii="Calibri" w:hAnsi="Calibri"/>
                <w:color w:val="2B2B2B"/>
                <w:sz w:val="20"/>
              </w:rPr>
              <w:t>Geschat verwerkingsvolume (pagina's/maand)</w:t>
            </w:r>
          </w:p>
        </w:tc>
        <w:tc>
          <w:tcPr>
            <w:tcW w:type="dxa" w:w="4513"/>
          </w:tcPr>
          <w:p>
            <w:r/>
            <w:r>
              <w:rPr>
                <w:rFonts w:ascii="Calibri" w:hAnsi="Calibri"/>
                <w:color w:val="2B2B2B"/>
                <w:sz w:val="20"/>
              </w:rPr>
              <w:t>___________________________</w:t>
            </w:r>
          </w:p>
        </w:tc>
      </w:tr>
      <w:tr>
        <w:tc>
          <w:tcPr>
            <w:tcW w:type="dxa" w:w="4513"/>
          </w:tcPr>
          <w:p>
            <w:r/>
            <w:r>
              <w:rPr>
                <w:sz w:val="20"/>
              </w:rPr>
              <w:t>Documenttypes</w:t>
            </w:r>
          </w:p>
        </w:tc>
        <w:tc>
          <w:tcPr>
            <w:tcW w:type="dxa" w:w="4513"/>
          </w:tcPr>
          <w:p>
            <w:r/>
            <w:r>
              <w:rPr>
                <w:sz w:val="20"/>
              </w:rPr>
              <w:t>___________________________</w:t>
            </w:r>
          </w:p>
        </w:tc>
      </w:tr>
      <w:tr>
        <w:tc>
          <w:tcPr>
            <w:tcW w:type="dxa" w:w="4513"/>
          </w:tcPr>
          <w:p>
            <w:r/>
            <w:r>
              <w:rPr>
                <w:sz w:val="20"/>
              </w:rPr>
              <w:t>Gebruikers</w:t>
            </w:r>
          </w:p>
        </w:tc>
        <w:tc>
          <w:tcPr>
            <w:tcW w:type="dxa" w:w="4513"/>
          </w:tcPr>
          <w:p>
            <w:r/>
            <w:r>
              <w:rPr>
                <w:sz w:val="20"/>
              </w:rPr>
              <w:t>___________________________</w:t>
            </w:r>
          </w:p>
        </w:tc>
      </w:tr>
      <w:tr>
        <w:tc>
          <w:tcPr>
            <w:tcW w:type="dxa" w:w="4513"/>
          </w:tcPr>
          <w:p>
            <w:r/>
            <w:r>
              <w:rPr>
                <w:sz w:val="20"/>
              </w:rPr>
              <w:t>Overige scope-afspraken</w:t>
            </w:r>
          </w:p>
        </w:tc>
        <w:tc>
          <w:tcPr>
            <w:tcW w:type="dxa" w:w="4513"/>
          </w:tcPr>
          <w:p>
            <w:r/>
            <w:r>
              <w:rPr>
                <w:sz w:val="20"/>
              </w:rPr>
              <w:t>___________________________</w:t>
            </w:r>
          </w:p>
        </w:tc>
      </w:tr>
    </w:tbl>
    <w:p/>
    <w:p>
      <w:pPr>
        <w:pStyle w:val="Kop2"/>
      </w:pPr>
      <w:r>
        <w:t>Wat is niet inbegrepen</w:t>
      </w:r>
    </w:p>
    <w:p>
      <w:pPr>
        <w:pStyle w:val="Lijstalinea"/>
        <w:spacing w:after="160"/>
      </w:pPr>
      <w:r>
        <w:rPr>
          <w:sz w:val="21"/>
        </w:rPr>
        <w:t>•  Nieuwe functionaliteit, nieuwe workflows of omvangrijke configuratiewijzigingen na oplevering (worden behandeld via een wijzigingsverzoek);</w:t>
      </w:r>
    </w:p>
    <w:p>
      <w:pPr>
        <w:pStyle w:val="Lijstalinea"/>
        <w:spacing w:after="160"/>
      </w:pPr>
      <w:r>
        <w:rPr>
          <w:rFonts w:ascii="Calibri" w:hAnsi="Calibri"/>
          <w:color w:val="2B2B2B"/>
          <w:sz w:val="20"/>
        </w:rPr>
        <w:t>Data- of documentmigratie (zie Meerwerkprijzen hieronder), tenzij hierboven uitdrukkelijk opgenomen;</w:t>
      </w:r>
    </w:p>
    <w:p>
      <w:pPr>
        <w:pStyle w:val="Lijstalinea"/>
        <w:spacing w:after="160"/>
      </w:pPr>
      <w:r>
        <w:rPr>
          <w:rFonts w:ascii="Calibri" w:hAnsi="Calibri"/>
          <w:color w:val="2B2B2B"/>
          <w:sz w:val="20"/>
        </w:rPr>
        <w:t>Nieuwe externe integraties (zie Meerwerkprijzen hieronder), tenzij hierboven uitdrukkelijk opgenomen;</w:t>
      </w:r>
    </w:p>
    <w:p>
      <w:pPr>
        <w:pStyle w:val="Lijstalinea"/>
        <w:spacing w:after="160"/>
      </w:pPr>
      <w:r>
        <w:rPr>
          <w:sz w:val="21"/>
        </w:rPr>
        <w:t>•  Maatwerkontwikkeling buiten de hierboven omschreven scope;</w:t>
      </w:r>
    </w:p>
    <w:p>
      <w:pPr>
        <w:pStyle w:val="Lijstalinea"/>
        <w:spacing w:after="160"/>
      </w:pPr>
      <w:r>
        <w:rPr>
          <w:rFonts w:ascii="Calibri" w:hAnsi="Calibri"/>
          <w:color w:val="2B2B2B"/>
          <w:sz w:val="20"/>
        </w:rPr>
        <w:t>Intake/scope-analyse en algemeen meerwerk buiten de hieronder genoemde categorieën: prijs en/of grens hiervoor nog niet autoritatief vastgelegd [TE BESLISSEN] — apart te offreren zodra bepaald. Opleiding buiten pakket, extra documenttypes/templates, losse modules, migratie en externe integraties: zie Meerwerkprijzen hieronder.</w:t>
      </w:r>
    </w:p>
    <w:p>
      <w:pPr>
        <w:pStyle w:val="Kop2"/>
      </w:pPr>
      <w:r>
        <w:t>Meerwerkprijzen (SDF Budget Guard authority, 30-08-2026)</w:t>
      </w:r>
    </w:p>
    <w:p>
      <w:r>
        <w:rPr>
          <w:rFonts w:ascii="Calibri" w:hAnsi="Calibri"/>
          <w:i w:val="0"/>
          <w:color w:val="2B2B2B"/>
          <w:sz w:val="20"/>
        </w:rPr>
        <w:t>Onderstaande bedragen zijn goedgekeurd als vaste of vanaf-meerwerkprijzen boven de pakketcapaciteit (zie Capaciteitsgrenzen per pakket) en gelden voor alle pakketten. Derdepartij-/licentiekosten zijn niet inbegrepen en worden afzonderlijk doorgerekend of rechtstreeks door de klant betaald. Voor migraties en integraties wordt de definitieve prijs bevestigd na beoordeling van bron, volume, datakwaliteit, externe systeemvereisten en technische complexiteit.</w:t>
      </w:r>
    </w:p>
    <w:tbl>
      <w:tblPr>
        <w:tblW w:type="auto" w:w="0"/>
        <w:tblLayout w:type="autofit"/>
        <w:tblLook w:firstColumn="1" w:firstRow="1" w:lastColumn="0" w:lastRow="0" w:noHBand="0" w:noVBand="1" w:val="04A0"/>
      </w:tblPr>
      <w:tblGrid>
        <w:gridCol w:w="4513"/>
        <w:gridCol w:w="4513"/>
      </w:tblGrid>
      <w:tr>
        <w:tc>
          <w:tcPr>
            <w:tcW w:type="dxa" w:w="4513"/>
            <w:tcBorders>
              <w:top w:val="single" w:sz="4" w:space="0" w:color="C9CFD8"/>
              <w:left w:val="single" w:sz="4" w:space="0" w:color="C9CFD8"/>
              <w:bottom w:val="single" w:sz="4" w:space="0" w:color="C9CFD8"/>
              <w:right w:val="single" w:sz="4" w:space="0" w:color="C9CFD8"/>
            </w:tcBorders>
            <w:shd w:val="clear" w:color="auto" w:fill="1B2A4A"/>
          </w:tcPr>
          <w:p>
            <w:r/>
            <w:r>
              <w:rPr>
                <w:rFonts w:ascii="Calibri" w:hAnsi="Calibri"/>
                <w:b/>
                <w:color w:val="FFFFFF"/>
                <w:sz w:val="20"/>
              </w:rPr>
              <w:t>Categorie</w:t>
            </w:r>
          </w:p>
        </w:tc>
        <w:tc>
          <w:tcPr>
            <w:tcW w:type="dxa" w:w="4513"/>
            <w:tcBorders>
              <w:top w:val="single" w:sz="4" w:space="0" w:color="C9CFD8"/>
              <w:left w:val="single" w:sz="4" w:space="0" w:color="C9CFD8"/>
              <w:bottom w:val="single" w:sz="4" w:space="0" w:color="C9CFD8"/>
              <w:right w:val="single" w:sz="4" w:space="0" w:color="C9CFD8"/>
            </w:tcBorders>
            <w:shd w:val="clear" w:color="auto" w:fill="1B2A4A"/>
          </w:tcPr>
          <w:p>
            <w:r/>
            <w:r>
              <w:rPr>
                <w:rFonts w:ascii="Calibri" w:hAnsi="Calibri"/>
                <w:b/>
                <w:color w:val="FFFFFF"/>
                <w:sz w:val="20"/>
              </w:rPr>
              <w:t>Prijs (excl. btw)</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Extra standaard documenttype/template</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€ 225 per type/template</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Complex documenttype/template</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€ 450</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Losse standaardmodule</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€ 750</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Complexe losse module</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€ 1.500 / offerte</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Documentmigratie — eenvoudig</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€ 450</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Documentmigratie — normaal</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€ 950</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Documentmigratie — complex/groot volume</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€ 1.500 / beoordeling</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Externe integratie — eenvoudig</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€ 650</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Externe integratie — standaard zakelijk</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€ 950</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Externe integratie — complex</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vanaf € 1.500 / offerte</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Extra opleiding</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€ 95 / uur</w:t>
            </w:r>
          </w:p>
        </w:tc>
      </w:tr>
      <w:tr>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Opleidingsblok 3 uur</w:t>
            </w:r>
          </w:p>
        </w:tc>
        <w:tc>
          <w:tcPr>
            <w:tcW w:type="dxa" w:w="4513"/>
            <w:tcBorders>
              <w:top w:val="single" w:sz="4" w:space="0" w:color="C9CFD8"/>
              <w:left w:val="single" w:sz="4" w:space="0" w:color="C9CFD8"/>
              <w:bottom w:val="single" w:sz="4" w:space="0" w:color="C9CFD8"/>
              <w:right w:val="single" w:sz="4" w:space="0" w:color="C9CFD8"/>
            </w:tcBorders>
          </w:tcPr>
          <w:p>
            <w:r/>
            <w:r>
              <w:rPr>
                <w:rFonts w:ascii="Calibri" w:hAnsi="Calibri"/>
                <w:b w:val="0"/>
                <w:color w:val="2B2B2B"/>
                <w:sz w:val="20"/>
              </w:rPr>
              <w:t>€ 275</w:t>
            </w:r>
          </w:p>
        </w:tc>
      </w:tr>
    </w:tbl>
    <w:p/>
    <w:p>
      <w:pPr>
        <w:pStyle w:val="Kop2"/>
      </w:pPr>
      <w:r>
        <w:t>Implementatiebetaling — 40/40/20</w:t>
      </w:r>
    </w:p>
    <w:p>
      <w:pPr>
        <w:spacing w:after="160"/>
      </w:pPr>
      <w:r>
        <w:rPr>
          <w:b w:val="0"/>
          <w:i w:val="0"/>
          <w:sz w:val="21"/>
        </w:rPr>
        <w:t>De eenmalige implementatieprijs wordt gefactureerd in drie mijlpalen: 40% bij opdrachtbevestiging, factureerbaar na aanvaarding van de offerte; 40% bij functionele oplevering/testfase; 20% bij definitieve oplevering/acceptatie. De projectuitvoering start pas na ontvangst van de eerste betaling (mijlpaal 1) — offerteaanvaarding en factuurverzending op zich starten de uitvoering niet. Zie het opleverings-/acceptatiedocument Slimme Documentenflow voor de formele registratie van de twee opleveringsmomenten.</w:t>
      </w:r>
    </w:p>
    <w:tbl>
      <w:tblPr>
        <w:tblW w:type="auto" w:w="0"/>
        <w:tblLook w:firstColumn="1" w:firstRow="1" w:lastColumn="0" w:lastRow="0" w:noHBand="0" w:noVBand="1" w:val="04A0"/>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Pr>
      <w:tblGrid>
        <w:gridCol w:w="2256"/>
        <w:gridCol w:w="2256"/>
        <w:gridCol w:w="2256"/>
        <w:gridCol w:w="2256"/>
      </w:tblGrid>
      <w:tr>
        <w:tc>
          <w:tcPr>
            <w:tcW w:type="dxa" w:w="2256"/>
            <w:shd w:val="clear" w:color="auto" w:fill="1B2A4A"/>
          </w:tcPr>
          <w:p>
            <w:r/>
            <w:r>
              <w:rPr>
                <w:b/>
                <w:color w:val="FFFFFF"/>
                <w:sz w:val="20"/>
              </w:rPr>
              <w:t>Pakket</w:t>
            </w:r>
          </w:p>
        </w:tc>
        <w:tc>
          <w:tcPr>
            <w:tcW w:type="dxa" w:w="2256"/>
            <w:shd w:val="clear" w:color="auto" w:fill="1B2A4A"/>
          </w:tcPr>
          <w:p>
            <w:r/>
            <w:r>
              <w:rPr>
                <w:b/>
                <w:color w:val="FFFFFF"/>
                <w:sz w:val="20"/>
              </w:rPr>
              <w:t>40% — opdrachtbevestiging (factureerbaar na aanvaarding offerte)</w:t>
            </w:r>
          </w:p>
        </w:tc>
        <w:tc>
          <w:tcPr>
            <w:tcW w:type="dxa" w:w="2256"/>
            <w:shd w:val="clear" w:color="auto" w:fill="1B2A4A"/>
          </w:tcPr>
          <w:p>
            <w:r/>
            <w:r>
              <w:rPr>
                <w:b/>
                <w:color w:val="FFFFFF"/>
                <w:sz w:val="20"/>
              </w:rPr>
              <w:t>40% — functionele oplevering/testfase</w:t>
            </w:r>
          </w:p>
        </w:tc>
        <w:tc>
          <w:tcPr>
            <w:tcW w:type="dxa" w:w="2256"/>
            <w:shd w:val="clear" w:color="auto" w:fill="1B2A4A"/>
          </w:tcPr>
          <w:p>
            <w:r/>
            <w:r>
              <w:rPr>
                <w:b/>
                <w:color w:val="FFFFFF"/>
                <w:sz w:val="20"/>
              </w:rPr>
              <w:t>20% — definitieve oplevering/acceptatie</w:t>
            </w:r>
          </w:p>
        </w:tc>
      </w:tr>
      <w:tr>
        <w:tc>
          <w:tcPr>
            <w:tcW w:type="dxa" w:w="2256"/>
          </w:tcPr>
          <w:p>
            <w:r/>
            <w:r>
              <w:rPr>
                <w:sz w:val="20"/>
              </w:rPr>
              <w:t>START (€ 2.850)</w:t>
            </w:r>
          </w:p>
        </w:tc>
        <w:tc>
          <w:tcPr>
            <w:tcW w:type="dxa" w:w="2256"/>
          </w:tcPr>
          <w:p>
            <w:r/>
            <w:r>
              <w:rPr>
                <w:sz w:val="20"/>
              </w:rPr>
              <w:t>€ 1.140</w:t>
            </w:r>
          </w:p>
        </w:tc>
        <w:tc>
          <w:tcPr>
            <w:tcW w:type="dxa" w:w="2256"/>
          </w:tcPr>
          <w:p>
            <w:r/>
            <w:r>
              <w:rPr>
                <w:sz w:val="20"/>
              </w:rPr>
              <w:t>€ 1.140</w:t>
            </w:r>
          </w:p>
        </w:tc>
        <w:tc>
          <w:tcPr>
            <w:tcW w:type="dxa" w:w="2256"/>
          </w:tcPr>
          <w:p>
            <w:r/>
            <w:r>
              <w:rPr>
                <w:sz w:val="20"/>
              </w:rPr>
              <w:t>€ 570</w:t>
            </w:r>
          </w:p>
        </w:tc>
      </w:tr>
      <w:tr>
        <w:tc>
          <w:tcPr>
            <w:tcW w:type="dxa" w:w="2256"/>
          </w:tcPr>
          <w:p>
            <w:r/>
            <w:r>
              <w:rPr>
                <w:sz w:val="20"/>
              </w:rPr>
              <w:t>GROEI (€ 5.700)</w:t>
            </w:r>
          </w:p>
        </w:tc>
        <w:tc>
          <w:tcPr>
            <w:tcW w:type="dxa" w:w="2256"/>
          </w:tcPr>
          <w:p>
            <w:r/>
            <w:r>
              <w:rPr>
                <w:sz w:val="20"/>
              </w:rPr>
              <w:t>€ 2.280</w:t>
            </w:r>
          </w:p>
        </w:tc>
        <w:tc>
          <w:tcPr>
            <w:tcW w:type="dxa" w:w="2256"/>
          </w:tcPr>
          <w:p>
            <w:r/>
            <w:r>
              <w:rPr>
                <w:sz w:val="20"/>
              </w:rPr>
              <w:t>€ 2.280</w:t>
            </w:r>
          </w:p>
        </w:tc>
        <w:tc>
          <w:tcPr>
            <w:tcW w:type="dxa" w:w="2256"/>
          </w:tcPr>
          <w:p>
            <w:r/>
            <w:r>
              <w:rPr>
                <w:sz w:val="20"/>
              </w:rPr>
              <w:t>€ 1.140</w:t>
            </w:r>
          </w:p>
        </w:tc>
      </w:tr>
      <w:tr>
        <w:tc>
          <w:tcPr>
            <w:tcW w:type="dxa" w:w="2256"/>
          </w:tcPr>
          <w:p>
            <w:r/>
            <w:r>
              <w:rPr>
                <w:rFonts w:ascii="Calibri" w:hAnsi="Calibri"/>
                <w:color w:val="2B2B2B"/>
                <w:sz w:val="20"/>
              </w:rPr>
              <w:t>PRO (€ 7.500)</w:t>
            </w:r>
          </w:p>
        </w:tc>
        <w:tc>
          <w:tcPr>
            <w:tcW w:type="dxa" w:w="2256"/>
          </w:tcPr>
          <w:p>
            <w:r/>
            <w:r>
              <w:rPr>
                <w:rFonts w:ascii="Calibri" w:hAnsi="Calibri"/>
                <w:color w:val="2B2B2B"/>
                <w:sz w:val="20"/>
              </w:rPr>
              <w:t>€ 3.000</w:t>
            </w:r>
          </w:p>
        </w:tc>
        <w:tc>
          <w:tcPr>
            <w:tcW w:type="dxa" w:w="2256"/>
          </w:tcPr>
          <w:p>
            <w:r/>
            <w:r>
              <w:rPr>
                <w:rFonts w:ascii="Calibri" w:hAnsi="Calibri"/>
                <w:color w:val="2B2B2B"/>
                <w:sz w:val="20"/>
              </w:rPr>
              <w:t>€ 3.000</w:t>
            </w:r>
          </w:p>
        </w:tc>
        <w:tc>
          <w:tcPr>
            <w:tcW w:type="dxa" w:w="2256"/>
          </w:tcPr>
          <w:p>
            <w:r/>
            <w:r>
              <w:rPr>
                <w:rFonts w:ascii="Calibri" w:hAnsi="Calibri"/>
                <w:color w:val="2B2B2B"/>
                <w:sz w:val="20"/>
              </w:rPr>
              <w:t>€ 1.500</w:t>
            </w:r>
          </w:p>
        </w:tc>
      </w:tr>
      <w:tr>
        <w:tc>
          <w:tcPr>
            <w:tcW w:type="dxa" w:w="2256"/>
          </w:tcPr>
          <w:p>
            <w:r/>
            <w:r>
              <w:rPr>
                <w:sz w:val="20"/>
              </w:rPr>
              <w:t>MAATWERK</w:t>
            </w:r>
          </w:p>
        </w:tc>
        <w:tc>
          <w:tcPr>
            <w:tcW w:type="dxa" w:w="2256"/>
          </w:tcPr>
          <w:p>
            <w:r/>
            <w:r>
              <w:rPr>
                <w:sz w:val="20"/>
              </w:rPr>
              <w:t>40% van het definitief overeengekomen implementatiebedrag</w:t>
            </w:r>
          </w:p>
        </w:tc>
        <w:tc>
          <w:tcPr>
            <w:tcW w:type="dxa" w:w="2256"/>
          </w:tcPr>
          <w:p>
            <w:r/>
            <w:r>
              <w:rPr>
                <w:sz w:val="20"/>
              </w:rPr>
              <w:t>40% van het definitief overeengekomen implementatiebedrag</w:t>
            </w:r>
          </w:p>
        </w:tc>
        <w:tc>
          <w:tcPr>
            <w:tcW w:type="dxa" w:w="2256"/>
          </w:tcPr>
          <w:p>
            <w:r/>
            <w:r>
              <w:rPr>
                <w:sz w:val="20"/>
              </w:rPr>
              <w:t>20% van het definitief overeengekomen implementatiebedrag</w:t>
            </w:r>
          </w:p>
        </w:tc>
      </w:tr>
    </w:tbl>
    <w:p>
      <w:pPr>
        <w:spacing w:after="160"/>
      </w:pPr>
      <w:r>
        <w:rPr>
          <w:b w:val="0"/>
          <w:i w:val="0"/>
          <w:color w:val="6B7280"/>
          <w:sz w:val="19"/>
        </w:rPr>
        <w:t>Voor MAATWERK gelden eveneens de mijlpalen 40% / 40% / 20% op het definitief overeengekomen implementatiebedrag. Afwijking hiervan is uitsluitend mogelijk na afzonderlijke schriftelijke goedkeuring.</w:t>
      </w:r>
    </w:p>
    <w:p>
      <w:pPr>
        <w:spacing w:after="160"/>
      </w:pPr>
      <w:r>
        <w:rPr>
          <w:b w:val="0"/>
          <w:i w:val="0"/>
          <w:color w:val="6B7280"/>
          <w:sz w:val="19"/>
        </w:rPr>
        <w:t>Facturen zijn betaalbaar binnen ___ dagen na factuurdatum (conform Algemene Voorwaarden art. 3, tenzij hierboven anders vermeld).</w:t>
      </w:r>
    </w:p>
    <w:p/>
    <w:p>
      <w:pPr>
        <w:pStyle w:val="Kop2"/>
      </w:pPr>
      <w:r>
        <w:t>Recurrente dienstverlening</w:t>
      </w:r>
    </w:p>
    <w:p>
      <w:pPr>
        <w:spacing w:after="160"/>
      </w:pPr>
      <w:r>
        <w:rPr>
          <w:b w:val="0"/>
          <w:i w:val="0"/>
          <w:sz w:val="21"/>
        </w:rPr>
        <w:t>De recurrente maandelijkse vergoeding start vanaf de operationele oplevering/activering van de klantinstance (niet vanaf ondertekening van deze offerte), zoals geregistreerd in het opleverings-/acceptatiedocument Slimme Documentenflow. De vergoeding omvat in beginsel hosting/infrastructuur, technisch beheer, onderhoud, noodzakelijke technische/security-updates, back-upbeheer en normale ondersteuning bij gebruik van de reeds geleverde functionaliteit. Niet automatisch inbegrepen: nieuwe functionaliteit, nieuwe workflows, omvangrijke configuratiewijzigingen, migraties, nieuwe externe integraties, maatwerkontwikkeling en werkzaamheden buiten de overeengekomen scope.</w:t>
      </w:r>
    </w:p>
    <w:p>
      <w:pPr>
        <w:spacing w:after="160"/>
      </w:pPr>
      <w:r>
        <w:rPr>
          <w:b w:val="0"/>
          <w:i w:val="0"/>
          <w:sz w:val="21"/>
        </w:rPr>
        <w:t>Inbegrepen normale support per maand:</w:t>
      </w:r>
    </w:p>
    <w:tbl>
      <w:tblPr>
        <w:tblW w:type="auto" w:w="0"/>
        <w:tblLook w:firstColumn="1" w:firstRow="1" w:lastColumn="0" w:lastRow="0" w:noHBand="0" w:noVBand="1" w:val="04A0"/>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Pr>
      <w:tblGrid>
        <w:gridCol w:w="4513"/>
        <w:gridCol w:w="4513"/>
      </w:tblGrid>
      <w:tr>
        <w:tc>
          <w:tcPr>
            <w:tcW w:type="dxa" w:w="4513"/>
            <w:shd w:val="clear" w:color="auto" w:fill="1B2A4A"/>
          </w:tcPr>
          <w:p>
            <w:r/>
            <w:r>
              <w:rPr>
                <w:b/>
                <w:color w:val="FFFFFF"/>
                <w:sz w:val="20"/>
              </w:rPr>
              <w:t>Pakket</w:t>
            </w:r>
          </w:p>
        </w:tc>
        <w:tc>
          <w:tcPr>
            <w:tcW w:type="dxa" w:w="4513"/>
            <w:shd w:val="clear" w:color="auto" w:fill="1B2A4A"/>
          </w:tcPr>
          <w:p>
            <w:r/>
            <w:r>
              <w:rPr>
                <w:b/>
                <w:color w:val="FFFFFF"/>
                <w:sz w:val="20"/>
              </w:rPr>
              <w:t>Inbegrepen normale support / maand</w:t>
            </w:r>
          </w:p>
        </w:tc>
      </w:tr>
      <w:tr>
        <w:tc>
          <w:tcPr>
            <w:tcW w:type="dxa" w:w="4513"/>
          </w:tcPr>
          <w:p>
            <w:r/>
            <w:r>
              <w:rPr>
                <w:sz w:val="20"/>
              </w:rPr>
              <w:t>START</w:t>
            </w:r>
          </w:p>
        </w:tc>
        <w:tc>
          <w:tcPr>
            <w:tcW w:type="dxa" w:w="4513"/>
          </w:tcPr>
          <w:p>
            <w:r/>
            <w:r>
              <w:rPr>
                <w:sz w:val="20"/>
              </w:rPr>
              <w:t>1 uur</w:t>
            </w:r>
          </w:p>
        </w:tc>
      </w:tr>
      <w:tr>
        <w:tc>
          <w:tcPr>
            <w:tcW w:type="dxa" w:w="4513"/>
          </w:tcPr>
          <w:p>
            <w:r/>
            <w:r>
              <w:rPr>
                <w:sz w:val="20"/>
              </w:rPr>
              <w:t>GROEI</w:t>
            </w:r>
          </w:p>
        </w:tc>
        <w:tc>
          <w:tcPr>
            <w:tcW w:type="dxa" w:w="4513"/>
          </w:tcPr>
          <w:p>
            <w:r/>
            <w:r>
              <w:rPr>
                <w:sz w:val="20"/>
              </w:rPr>
              <w:t>2 uur</w:t>
            </w:r>
          </w:p>
        </w:tc>
      </w:tr>
      <w:tr>
        <w:tc>
          <w:tcPr>
            <w:tcW w:type="dxa" w:w="4513"/>
          </w:tcPr>
          <w:p>
            <w:r/>
            <w:r>
              <w:rPr>
                <w:rFonts w:ascii="Calibri" w:hAnsi="Calibri"/>
                <w:color w:val="2B2B2B"/>
                <w:sz w:val="20"/>
              </w:rPr>
              <w:t>PRO</w:t>
            </w:r>
          </w:p>
        </w:tc>
        <w:tc>
          <w:tcPr>
            <w:tcW w:type="dxa" w:w="4513"/>
          </w:tcPr>
          <w:p>
            <w:r/>
            <w:r>
              <w:rPr>
                <w:rFonts w:ascii="Calibri" w:hAnsi="Calibri"/>
                <w:color w:val="2B2B2B"/>
                <w:sz w:val="20"/>
              </w:rPr>
              <w:t>[TE BESLISSEN — nog niet vastgelegd in SDF Budget Guard authority]</w:t>
            </w:r>
          </w:p>
        </w:tc>
      </w:tr>
      <w:tr>
        <w:tc>
          <w:tcPr>
            <w:tcW w:type="dxa" w:w="4513"/>
          </w:tcPr>
          <w:p>
            <w:r/>
            <w:r>
              <w:rPr>
                <w:sz w:val="20"/>
              </w:rPr>
              <w:t>MAATWERK</w:t>
            </w:r>
          </w:p>
        </w:tc>
        <w:tc>
          <w:tcPr>
            <w:tcW w:type="dxa" w:w="4513"/>
          </w:tcPr>
          <w:p>
            <w:r/>
            <w:r>
              <w:rPr>
                <w:sz w:val="20"/>
              </w:rPr>
              <w:t>3 uur</w:t>
            </w:r>
          </w:p>
        </w:tc>
      </w:tr>
    </w:tbl>
    <w:p>
      <w:pPr>
        <w:spacing w:after="160"/>
      </w:pPr>
      <w:r>
        <w:rPr>
          <w:b w:val="0"/>
          <w:i w:val="0"/>
          <w:color w:val="6B7280"/>
          <w:sz w:val="19"/>
        </w:rPr>
        <w:t>Deze uren gelden per facturatiemaand en zijn niet overdraagbaar naar een volgende maand. Support boven de inbegrepen grens: € 85/uur excl. btw (bestaand ad-hoc-tarief). Complex technisch maatwerk: vanaf € 95/uur excl. btw of aparte offerte. Nieuwe functionaliteit, nieuwe workflows, nieuwe integraties en structurele uitbreidingen vallen nooit onder inbegrepen support en worden altijd als wijzigingsverzoek/meerwerk behandeld. Herstel van een aantoonbare fout in reeds geleverde functionaliteit waarvoor LWS verantwoordelijk is, wordt niet van het supportkrediet afgetrokken.</w:t>
      </w:r>
    </w:p>
    <w:p/>
    <w:p>
      <w:pPr>
        <w:pStyle w:val="Kop2"/>
      </w:pPr>
      <w:r>
        <w:t>Contractduur</w:t>
      </w:r>
    </w:p>
    <w:p>
      <w:pPr>
        <w:spacing w:after="160"/>
      </w:pPr>
      <w:r>
        <w:rPr>
          <w:b w:val="0"/>
          <w:i w:val="0"/>
          <w:sz w:val="21"/>
        </w:rPr>
        <w:t>De dienstverlening wordt aangegaan voor een initiële periode van twaalf maanden, ingaand vanaf operationele activering van de recurrente dienstverlening. Na afloop van deze initiële periode wordt de dienstverlening telkens met één maand voortgezet. Vanaf dat moment kan de overeenkomst door de klant of LWS worden opgezegd met inachtneming van een opzegtermijn van één maand.</w:t>
      </w:r>
    </w:p>
    <w:p/>
    <w:p>
      <w:pPr>
        <w:pStyle w:val="Kop2"/>
      </w:pPr>
      <w:r>
        <w:t>Externe kostenstijgingen</w:t>
      </w:r>
    </w:p>
    <w:p>
      <w:pPr>
        <w:spacing w:after="160"/>
      </w:pPr>
      <w:r>
        <w:rPr>
          <w:b w:val="0"/>
          <w:i w:val="0"/>
          <w:sz w:val="21"/>
        </w:rPr>
        <w:t>Aantoonbare prijsverhogingen van noodzakelijke externe diensten/infrastructuur die rechtstreeks verbonden zijn aan de dienstverlening kunnen proportioneel worden doorgerekend, met inachtneming van: minimaal 30 kalenderdagen voorafgaande schriftelijke kennisgeving; enkel de aantoonbare externe kostenstijging wordt doorgerekend; geen stilzwijgende verhoging. Er is op dit moment geen automatische jaarlijkse indexatie van de SDF-prijzen.</w:t>
      </w:r>
    </w:p>
    <w:p/>
    <w:p>
      <w:pPr>
        <w:pStyle w:val="Kop2"/>
      </w:pPr>
      <w:r>
        <w:t>Acceptatie</w:t>
      </w:r>
    </w:p>
    <w:p>
      <w:pPr>
        <w:spacing w:after="160"/>
      </w:pPr>
      <w:r>
        <w:rPr>
          <w:b w:val="0"/>
          <w:i w:val="0"/>
          <w:sz w:val="21"/>
        </w:rPr>
        <w:t>De functionele oplevering/testfase en de definitieve oplevering/acceptatie zijn twee afzonderlijke momenten, formeel geregistreerd via het opleverings-/acceptatiedocument Slimme Documentenflow: de klant krijgt 10 werkdagen voor de functionele testfase en 5 werkdagen voor de definitieve controle. Aanvaarding gebeurt steeds actief (door ondertekening); er is geen stilzwijgende of automatische aanvaarding door het enkel verstrijken van een termijn.</w:t>
      </w:r>
    </w:p>
    <w:p/>
    <w:p>
      <w:pPr>
        <w:pStyle w:val="Kop2"/>
      </w:pPr>
      <w:r>
        <w:t>Maatwerkspecificaties (indien van toepassing)</w:t>
      </w:r>
    </w:p>
    <w:p>
      <w:pPr>
        <w:spacing w:after="160"/>
      </w:pPr>
      <w:r>
        <w:rPr>
          <w:b w:val="0"/>
          <w:i w:val="0"/>
          <w:sz w:val="21"/>
        </w:rPr>
        <w:t>Enkel in te vullen bij pakket MAATWERK:</w:t>
      </w:r>
    </w:p>
    <w:p>
      <w:pPr>
        <w:spacing w:after="160"/>
      </w:pPr>
      <w:r>
        <w:rPr>
          <w:b w:val="0"/>
          <w:i w:val="0"/>
          <w:sz w:val="21"/>
        </w:rPr>
        <w:t>___________________________</w:t>
      </w:r>
    </w:p>
    <w:p/>
    <w:p>
      <w:pPr>
        <w:pStyle w:val="Kop2"/>
      </w:pPr>
      <w:r>
        <w:t>Uitvoeringstermijn</w:t>
      </w:r>
    </w:p>
    <w:p>
      <w:pPr>
        <w:spacing w:after="160"/>
      </w:pPr>
      <w:r>
        <w:rPr>
          <w:b w:val="0"/>
          <w:i w:val="0"/>
          <w:sz w:val="21"/>
        </w:rPr>
        <w:t>De geschatte uitvoeringstermijn tot functionele oplevering/testfase bedraagt ___ weken, te rekenen vanaf ontvangst van de eerste betaling (mijlpaal 1) en ontvangst van alle benodigde input van de klant — niet vanaf ondertekening van deze offerte. Deze termijn is indicatief.</w:t>
      </w:r>
    </w:p>
    <w:p/>
    <w:p>
      <w:pPr>
        <w:pStyle w:val="Kop2"/>
      </w:pPr>
      <w:r>
        <w:t>Geldigheid</w:t>
      </w:r>
    </w:p>
    <w:p>
      <w:pPr>
        <w:spacing w:after="160"/>
      </w:pPr>
      <w:r>
        <w:rPr>
          <w:b w:val="0"/>
          <w:i w:val="0"/>
          <w:sz w:val="21"/>
        </w:rPr>
        <w:t>Deze offerte is geldig tot de datum vermeld bovenaan dit document. Na deze datum kunnen prijzen en beschikbaarheid wijzigen.</w:t>
      </w:r>
    </w:p>
    <w:p/>
    <w:p>
      <w:pPr>
        <w:pStyle w:val="Kop2"/>
      </w:pPr>
      <w:r>
        <w:t>Toepasselijke voorwaarden</w:t>
      </w:r>
    </w:p>
    <w:p>
      <w:pPr>
        <w:spacing w:after="160"/>
      </w:pPr>
      <w:r>
        <w:rPr>
          <w:b w:val="0"/>
          <w:i w:val="0"/>
          <w:sz w:val="21"/>
        </w:rPr>
        <w:t>Op deze offerte en de eruit voortvloeiende dienstverlening zijn de Algemene Voorwaarden van Lorenzo Web Solutions van toepassing. Na schriftelijke goedkeuring van deze offerte wordt een Dienstverleningsovereenkomst Slimme Documentenflow opgemaakt, waarin de afspraken uit deze offerte in detail worden bevestigd; bij tegenstrijdigheid tussen deze offerte en de Dienstverleningsovereenkomst primeert de meest recente, door beide partijen ondertekende versie.</w:t>
      </w:r>
    </w:p>
    <w:p/>
    <w:p>
      <w:pPr>
        <w:pStyle w:val="Kop2"/>
      </w:pPr>
      <w:r>
        <w:t>Voor akkoord</w:t>
      </w:r>
    </w:p>
    <w:p>
      <w:pPr>
        <w:spacing w:after="160"/>
      </w:pPr>
      <w:r>
        <w:rPr>
          <w:b w:val="0"/>
          <w:i w:val="0"/>
          <w:sz w:val="21"/>
        </w:rPr>
        <w:t>Door ondertekening verklaart de klant deze offerte te aanvaarden onder de hierboven vermelde voorwaarden.</w:t>
      </w:r>
    </w:p>
    <w:tbl>
      <w:tblPr>
        <w:tblW w:type="auto" w:w="0"/>
        <w:tblLook w:firstColumn="1" w:firstRow="1" w:lastColumn="0" w:lastRow="0" w:noHBand="0" w:noVBand="1" w:val="04A0"/>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Pr>
      <w:tblGrid>
        <w:gridCol w:w="4513"/>
        <w:gridCol w:w="4513"/>
      </w:tblGrid>
      <w:tr>
        <w:tc>
          <w:tcPr>
            <w:tcW w:type="dxa" w:w="4513"/>
            <w:shd w:val="clear" w:color="auto" w:fill="F3F5F7"/>
          </w:tcPr>
          <w:p>
            <w:r/>
            <w:r>
              <w:rPr>
                <w:b/>
                <w:sz w:val="20"/>
              </w:rPr>
              <w:t>Voor akkoord – Lorenzo Web Solutions</w:t>
            </w:r>
          </w:p>
        </w:tc>
        <w:tc>
          <w:tcPr>
            <w:tcW w:type="dxa" w:w="4513"/>
            <w:shd w:val="clear" w:color="auto" w:fill="F3F5F7"/>
          </w:tcPr>
          <w:p>
            <w:r/>
            <w:r>
              <w:rPr>
                <w:b/>
                <w:sz w:val="20"/>
              </w:rPr>
              <w:t>Voor akkoord – Klant</w:t>
            </w:r>
          </w:p>
        </w:tc>
      </w:tr>
      <w:tr>
        <w:tc>
          <w:tcPr>
            <w:tcW w:type="dxa" w:w="4513"/>
          </w:tcPr>
          <w:p>
            <w:r/>
            <w:r>
              <w:rPr>
                <w:sz w:val="20"/>
              </w:rPr>
              <w:t>Naam: Lorenzo Bombello</w:t>
            </w:r>
          </w:p>
        </w:tc>
        <w:tc>
          <w:tcPr>
            <w:tcW w:type="dxa" w:w="4513"/>
          </w:tcPr>
          <w:p>
            <w:r/>
            <w:r>
              <w:rPr>
                <w:sz w:val="20"/>
              </w:rPr>
              <w:t>Naam:</w:t>
            </w:r>
          </w:p>
        </w:tc>
      </w:tr>
      <w:tr>
        <w:tc>
          <w:tcPr>
            <w:tcW w:type="dxa" w:w="4513"/>
          </w:tcPr>
          <w:p>
            <w:r/>
            <w:r>
              <w:rPr>
                <w:sz w:val="20"/>
              </w:rPr>
              <w:t>Datum:</w:t>
            </w:r>
          </w:p>
        </w:tc>
        <w:tc>
          <w:tcPr>
            <w:tcW w:type="dxa" w:w="4513"/>
          </w:tcPr>
          <w:p>
            <w:r/>
            <w:r>
              <w:rPr>
                <w:sz w:val="20"/>
              </w:rPr>
              <w:t>Datum:</w:t>
            </w:r>
          </w:p>
        </w:tc>
      </w:tr>
      <w:tr>
        <w:tc>
          <w:tcPr>
            <w:tcW w:type="dxa" w:w="4513"/>
          </w:tcPr>
          <w:p>
            <w:r/>
            <w:r>
              <w:rPr>
                <w:sz w:val="20"/>
              </w:rPr>
              <w:t>Handtekening</w:t>
            </w:r>
          </w:p>
        </w:tc>
        <w:tc>
          <w:tcPr>
            <w:tcW w:type="dxa" w:w="4513"/>
          </w:tcPr>
          <w:p>
            <w:r/>
            <w:r>
              <w:rPr>
                <w:sz w:val="20"/>
              </w:rPr>
              <w:t>Handtekening (gelezen en goedgekeurd)</w:t>
            </w:r>
          </w:p>
        </w:tc>
      </w:tr>
      <w:tr>
        <w:tc>
          <w:tcPr>
            <w:tcW w:type="dxa" w:w="4513"/>
          </w:tcPr>
          <w:p>
            <w:r/>
            <w:r>
              <w:rPr>
                <w:sz w:val="20"/>
              </w:rPr>
            </w:r>
          </w:p>
        </w:tc>
        <w:tc>
          <w:tcPr>
            <w:tcW w:type="dxa" w:w="4513"/>
          </w:tcPr>
          <w:p>
            <w:r/>
            <w:r>
              <w:rPr>
                <w:sz w:val="20"/>
              </w:rPr>
            </w:r>
          </w:p>
        </w:tc>
      </w:tr>
    </w:tbl>
    <w:sectPr w:rsidR="000000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B27E6" w14:textId="77777777" w:rsidR="0076530A" w:rsidRDefault="0076530A">
      <w:r>
        <w:separator/>
      </w:r>
    </w:p>
  </w:endnote>
  <w:endnote w:type="continuationSeparator" w:id="0">
    <w:p w14:paraId="03EBFF64" w14:textId="77777777" w:rsidR="0076530A" w:rsidRDefault="00765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63FDA" w14:textId="77777777" w:rsidR="00D5400A" w:rsidRDefault="0076530A">
    <w:pPr>
      <w:pBdr>
        <w:top w:val="single" w:sz="6" w:space="4" w:color="C9CFD8"/>
      </w:pBdr>
      <w:tabs>
        <w:tab w:val="right" w:pos="9026"/>
      </w:tabs>
    </w:pPr>
    <w:r>
      <w:rPr>
        <w:color w:val="6B7280"/>
        <w:sz w:val="16"/>
        <w:szCs w:val="16"/>
      </w:rPr>
      <w:t>Vertrouwelijk – Lorenzo Web Solutions</w:t>
    </w:r>
    <w:r>
      <w:rPr>
        <w:color w:val="6B7280"/>
        <w:sz w:val="16"/>
        <w:szCs w:val="16"/>
      </w:rPr>
      <w:tab/>
      <w:t xml:space="preserve">Pagina </w:t>
    </w:r>
    <w:r>
      <w:rPr>
        <w:color w:val="6B7280"/>
        <w:sz w:val="16"/>
        <w:szCs w:val="16"/>
      </w:rPr>
      <w:fldChar w:fldCharType="begin"/>
    </w:r>
    <w:r>
      <w:rPr>
        <w:color w:val="6B7280"/>
        <w:sz w:val="16"/>
        <w:szCs w:val="16"/>
      </w:rPr>
      <w:instrText>PAGE</w:instrText>
    </w:r>
    <w:r>
      <w:rPr>
        <w:color w:val="6B7280"/>
        <w:sz w:val="16"/>
        <w:szCs w:val="16"/>
      </w:rPr>
      <w:fldChar w:fldCharType="separate"/>
    </w:r>
    <w:r>
      <w:rPr>
        <w:noProof/>
        <w:color w:val="6B7280"/>
        <w:sz w:val="16"/>
        <w:szCs w:val="16"/>
      </w:rPr>
      <w:t>1</w:t>
    </w:r>
    <w:r>
      <w:rPr>
        <w:color w:val="6B7280"/>
        <w:sz w:val="16"/>
        <w:szCs w:val="16"/>
      </w:rPr>
      <w:fldChar w:fldCharType="end"/>
    </w:r>
    <w:r>
      <w:rPr>
        <w:color w:val="6B7280"/>
        <w:sz w:val="16"/>
        <w:szCs w:val="16"/>
      </w:rPr>
      <w:t xml:space="preserve"> van </w:t>
    </w:r>
    <w:r>
      <w:rPr>
        <w:color w:val="6B7280"/>
        <w:sz w:val="16"/>
        <w:szCs w:val="16"/>
      </w:rPr>
      <w:fldChar w:fldCharType="begin"/>
    </w:r>
    <w:r>
      <w:rPr>
        <w:color w:val="6B7280"/>
        <w:sz w:val="16"/>
        <w:szCs w:val="16"/>
      </w:rPr>
      <w:instrText>NUMPAGES</w:instrText>
    </w:r>
    <w:r>
      <w:rPr>
        <w:color w:val="6B7280"/>
        <w:sz w:val="16"/>
        <w:szCs w:val="16"/>
      </w:rPr>
      <w:fldChar w:fldCharType="separate"/>
    </w:r>
    <w:r>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08F89" w14:textId="77777777" w:rsidR="0076530A" w:rsidRDefault="0076530A">
      <w:r>
        <w:separator/>
      </w:r>
    </w:p>
  </w:footnote>
  <w:footnote w:type="continuationSeparator" w:id="0">
    <w:p w14:paraId="7DF55D32" w14:textId="77777777" w:rsidR="0076530A" w:rsidRDefault="00765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25527" w14:textId="77777777" w:rsidR="00D5400A" w:rsidRDefault="0076530A">
    <w:pPr>
      <w:pBdr>
        <w:bottom w:val="single" w:sz="6" w:space="4" w:color="C9CFD8"/>
      </w:pBdr>
      <w:tabs>
        <w:tab w:val="right" w:pos="9026"/>
      </w:tabs>
    </w:pPr>
    <w:r>
      <w:rPr>
        <w:b/>
        <w:bCs/>
        <w:noProof/>
        <w:color w:val="1B2A4A"/>
        <w:sz w:val="18"/>
        <w:szCs w:val="18"/>
      </w:rPr>
      <w:drawing>
        <wp:inline distT="0" distB="0" distL="0" distR="0" wp14:anchorId="69C1BE6A" wp14:editId="48B2CE09">
          <wp:extent cx="394813"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enzo-web-solutions-logo-bijgesneden.png"/>
                  <pic:cNvPicPr/>
                </pic:nvPicPr>
                <pic:blipFill>
                  <a:blip r:embed="rId1"/>
                  <a:stretch>
                    <a:fillRect/>
                  </a:stretch>
                </pic:blipFill>
                <pic:spPr>
                  <a:xfrm>
                    <a:off x="0" y="0"/>
                    <a:ext cx="394813" cy="228600"/>
                  </a:xfrm>
                  <a:prstGeom prst="rect">
                    <a:avLst/>
                  </a:prstGeom>
                </pic:spPr>
              </pic:pic>
            </a:graphicData>
          </a:graphic>
        </wp:inline>
      </w:drawing>
    </w:r>
    <w:r>
      <w:rPr>
        <w:color w:val="6B7280"/>
        <w:sz w:val="18"/>
        <w:szCs w:val="18"/>
      </w:rPr>
      <w:tab/>
      <w:t>Offerte – Slimme Documentenflow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E6D05"/>
    <w:multiLevelType w:val="hybridMultilevel"/>
    <w:tmpl w:val="3AAC20A6"/>
    <w:lvl w:ilvl="0" w:tplc="C320180E">
      <w:start w:val="1"/>
      <w:numFmt w:val="bullet"/>
      <w:lvlText w:val="●"/>
      <w:lvlJc w:val="left"/>
      <w:pPr>
        <w:ind w:left="720" w:hanging="360"/>
      </w:pPr>
    </w:lvl>
    <w:lvl w:ilvl="1" w:tplc="4BAECDA8">
      <w:start w:val="1"/>
      <w:numFmt w:val="bullet"/>
      <w:lvlText w:val="○"/>
      <w:lvlJc w:val="left"/>
      <w:pPr>
        <w:ind w:left="1440" w:hanging="360"/>
      </w:pPr>
    </w:lvl>
    <w:lvl w:ilvl="2" w:tplc="58F28E74">
      <w:start w:val="1"/>
      <w:numFmt w:val="bullet"/>
      <w:lvlText w:val="■"/>
      <w:lvlJc w:val="left"/>
      <w:pPr>
        <w:ind w:left="2160" w:hanging="360"/>
      </w:pPr>
    </w:lvl>
    <w:lvl w:ilvl="3" w:tplc="5C0831D2">
      <w:start w:val="1"/>
      <w:numFmt w:val="bullet"/>
      <w:lvlText w:val="●"/>
      <w:lvlJc w:val="left"/>
      <w:pPr>
        <w:ind w:left="2880" w:hanging="360"/>
      </w:pPr>
    </w:lvl>
    <w:lvl w:ilvl="4" w:tplc="9594E0DE">
      <w:start w:val="1"/>
      <w:numFmt w:val="bullet"/>
      <w:lvlText w:val="○"/>
      <w:lvlJc w:val="left"/>
      <w:pPr>
        <w:ind w:left="3600" w:hanging="360"/>
      </w:pPr>
    </w:lvl>
    <w:lvl w:ilvl="5" w:tplc="57F02654">
      <w:start w:val="1"/>
      <w:numFmt w:val="bullet"/>
      <w:lvlText w:val="■"/>
      <w:lvlJc w:val="left"/>
      <w:pPr>
        <w:ind w:left="4320" w:hanging="360"/>
      </w:pPr>
    </w:lvl>
    <w:lvl w:ilvl="6" w:tplc="C2C47B02">
      <w:start w:val="1"/>
      <w:numFmt w:val="bullet"/>
      <w:lvlText w:val="●"/>
      <w:lvlJc w:val="left"/>
      <w:pPr>
        <w:ind w:left="5040" w:hanging="360"/>
      </w:pPr>
    </w:lvl>
    <w:lvl w:ilvl="7" w:tplc="9F26EABE">
      <w:start w:val="1"/>
      <w:numFmt w:val="bullet"/>
      <w:lvlText w:val="●"/>
      <w:lvlJc w:val="left"/>
      <w:pPr>
        <w:ind w:left="5760" w:hanging="360"/>
      </w:pPr>
    </w:lvl>
    <w:lvl w:ilvl="8" w:tplc="0D2228DA">
      <w:start w:val="1"/>
      <w:numFmt w:val="bullet"/>
      <w:lvlText w:val="●"/>
      <w:lvlJc w:val="left"/>
      <w:pPr>
        <w:ind w:left="6480" w:hanging="360"/>
      </w:pPr>
    </w:lvl>
  </w:abstractNum>
  <w:abstractNum w:abstractNumId="1" w15:restartNumberingAfterBreak="0">
    <w:nsid w:val="3C775158"/>
    <w:multiLevelType w:val="hybridMultilevel"/>
    <w:tmpl w:val="C8027CB2"/>
    <w:lvl w:ilvl="0" w:tplc="239EBE7A">
      <w:start w:val="1"/>
      <w:numFmt w:val="bullet"/>
      <w:lvlText w:val="•"/>
      <w:lvlJc w:val="left"/>
      <w:pPr>
        <w:ind w:left="420" w:hanging="260"/>
      </w:pPr>
    </w:lvl>
    <w:lvl w:ilvl="1" w:tplc="C3566294">
      <w:numFmt w:val="decimal"/>
      <w:lvlText w:val=""/>
      <w:lvlJc w:val="left"/>
    </w:lvl>
    <w:lvl w:ilvl="2" w:tplc="35B2786A">
      <w:numFmt w:val="decimal"/>
      <w:lvlText w:val=""/>
      <w:lvlJc w:val="left"/>
    </w:lvl>
    <w:lvl w:ilvl="3" w:tplc="E040975C">
      <w:numFmt w:val="decimal"/>
      <w:lvlText w:val=""/>
      <w:lvlJc w:val="left"/>
    </w:lvl>
    <w:lvl w:ilvl="4" w:tplc="12CEF0C2">
      <w:numFmt w:val="decimal"/>
      <w:lvlText w:val=""/>
      <w:lvlJc w:val="left"/>
    </w:lvl>
    <w:lvl w:ilvl="5" w:tplc="C19AD9D2">
      <w:numFmt w:val="decimal"/>
      <w:lvlText w:val=""/>
      <w:lvlJc w:val="left"/>
    </w:lvl>
    <w:lvl w:ilvl="6" w:tplc="DBD64BE8">
      <w:numFmt w:val="decimal"/>
      <w:lvlText w:val=""/>
      <w:lvlJc w:val="left"/>
    </w:lvl>
    <w:lvl w:ilvl="7" w:tplc="8EB095EE">
      <w:numFmt w:val="decimal"/>
      <w:lvlText w:val=""/>
      <w:lvlJc w:val="left"/>
    </w:lvl>
    <w:lvl w:ilvl="8" w:tplc="2EAA9290">
      <w:numFmt w:val="decimal"/>
      <w:lvlText w:val=""/>
      <w:lvlJc w:val="left"/>
    </w:lvl>
  </w:abstractNum>
  <w:abstractNum w:abstractNumId="2" w15:restartNumberingAfterBreak="0">
    <w:nsid w:val="54F92B6A"/>
    <w:multiLevelType w:val="hybridMultilevel"/>
    <w:tmpl w:val="832A7E9C"/>
    <w:lvl w:ilvl="0" w:tplc="B9220684">
      <w:start w:val="1"/>
      <w:numFmt w:val="decimal"/>
      <w:lvlText w:val="%1."/>
      <w:lvlJc w:val="left"/>
      <w:pPr>
        <w:ind w:left="420" w:hanging="260"/>
      </w:pPr>
    </w:lvl>
    <w:lvl w:ilvl="1" w:tplc="580080B4">
      <w:numFmt w:val="decimal"/>
      <w:lvlText w:val=""/>
      <w:lvlJc w:val="left"/>
    </w:lvl>
    <w:lvl w:ilvl="2" w:tplc="1B5AC14E">
      <w:numFmt w:val="decimal"/>
      <w:lvlText w:val=""/>
      <w:lvlJc w:val="left"/>
    </w:lvl>
    <w:lvl w:ilvl="3" w:tplc="4418C932">
      <w:numFmt w:val="decimal"/>
      <w:lvlText w:val=""/>
      <w:lvlJc w:val="left"/>
    </w:lvl>
    <w:lvl w:ilvl="4" w:tplc="14BE3942">
      <w:numFmt w:val="decimal"/>
      <w:lvlText w:val=""/>
      <w:lvlJc w:val="left"/>
    </w:lvl>
    <w:lvl w:ilvl="5" w:tplc="FD900E1A">
      <w:numFmt w:val="decimal"/>
      <w:lvlText w:val=""/>
      <w:lvlJc w:val="left"/>
    </w:lvl>
    <w:lvl w:ilvl="6" w:tplc="76A2C108">
      <w:numFmt w:val="decimal"/>
      <w:lvlText w:val=""/>
      <w:lvlJc w:val="left"/>
    </w:lvl>
    <w:lvl w:ilvl="7" w:tplc="C6705AC4">
      <w:numFmt w:val="decimal"/>
      <w:lvlText w:val=""/>
      <w:lvlJc w:val="left"/>
    </w:lvl>
    <w:lvl w:ilvl="8" w:tplc="9C1C4D5A">
      <w:numFmt w:val="decimal"/>
      <w:lvlText w:val=""/>
      <w:lvlJc w:val="left"/>
    </w:lvl>
  </w:abstractNum>
  <w:num w:numId="1" w16cid:durableId="1495488888">
    <w:abstractNumId w:val="0"/>
    <w:lvlOverride w:ilvl="0">
      <w:startOverride w:val="1"/>
    </w:lvlOverride>
  </w:num>
  <w:num w:numId="2" w16cid:durableId="12246845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00A"/>
    <w:rsid w:val="006512D0"/>
    <w:rsid w:val="0076530A"/>
    <w:rsid w:val="00D5400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60B2"/>
  <w15:docId w15:val="{EBB08E3E-DA24-4857-BC0E-92B335ED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B2B2B"/>
        <w:sz w:val="21"/>
        <w:szCs w:val="21"/>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20" w:after="160"/>
      <w:outlineLvl w:val="0"/>
    </w:pPr>
    <w:rPr>
      <w:b/>
      <w:bCs/>
      <w:color w:val="1B2A4A"/>
      <w:sz w:val="30"/>
      <w:szCs w:val="30"/>
    </w:rPr>
  </w:style>
  <w:style w:type="paragraph" w:styleId="Kop2">
    <w:name w:val="heading 2"/>
    <w:uiPriority w:val="9"/>
    <w:unhideWhenUsed/>
    <w:qFormat/>
    <w:pPr>
      <w:spacing w:before="260" w:after="120"/>
      <w:outlineLvl w:val="1"/>
    </w:pPr>
    <w:rPr>
      <w:b/>
      <w:bCs/>
      <w:color w:val="1B2A4A"/>
      <w:sz w:val="24"/>
      <w:szCs w:val="24"/>
    </w:rPr>
  </w:style>
  <w:style w:type="paragraph" w:styleId="Kop3">
    <w:name w:val="heading 3"/>
    <w:uiPriority w:val="9"/>
    <w:semiHidden/>
    <w:unhideWhenUsed/>
    <w:qFormat/>
    <w:pPr>
      <w:spacing w:before="200" w:after="100"/>
      <w:outlineLvl w:val="2"/>
    </w:pPr>
    <w:rPr>
      <w:b/>
      <w:bCs/>
      <w:color w:val="2AA9A0"/>
      <w:sz w:val="22"/>
      <w:szCs w:val="22"/>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Words>
  <Characters>2154</Characters>
  <Application>Microsoft Office Word</Application>
  <DocSecurity>0</DocSecurity>
  <Lines>17</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Lorenzo Bombello</cp:lastModifiedBy>
  <cp:revision>2</cp:revision>
  <cp:lastPrinted>2026-08-07T20:02:00Z</cp:lastPrinted>
  <dcterms:created xsi:type="dcterms:W3CDTF">2026-08-05T21:44:00Z</dcterms:created>
  <dcterms:modified xsi:type="dcterms:W3CDTF">2026-08-07T20:02:00Z</dcterms:modified>
</cp:coreProperties>
</file>