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Plain</w:t>
      </w:r>
      <w:r>
        <w:t xml:space="preserve"> </w:t>
      </w:r>
      <w:r>
        <w:t xml:space="preserve">Text</w:t>
      </w:r>
      <w:r>
        <w:t xml:space="preserve"> </w:t>
      </w:r>
      <w:r>
        <w:t xml:space="preserve">Workflow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class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novembre</w:t>
      </w:r>
      <w:r>
        <w:t xml:space="preserve"> </w:t>
      </w:r>
      <w:r>
        <w:t xml:space="preserve">2022</w:t>
      </w:r>
    </w:p>
    <w:bookmarkStart w:id="31" w:name="intro"/>
    <w:p>
      <w:pPr>
        <w:pStyle w:val="Heading1"/>
      </w:pPr>
      <w:r>
        <w:t xml:space="preserve">Intro</w:t>
      </w:r>
    </w:p>
    <w:p>
      <w:pPr>
        <w:pStyle w:val="FirstParagraph"/>
      </w:pPr>
      <w:r>
        <w:t xml:space="preserve">Go ahead, play around with the editor! Be sure to check out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styling, or even</w:t>
      </w:r>
      <w:r>
        <w:t xml:space="preserve"> </w:t>
      </w:r>
      <w:hyperlink r:id="rId20">
        <w:r>
          <w:rPr>
            <w:rStyle w:val="Hyperlink"/>
          </w:rPr>
          <w:t xml:space="preserve">links</w:t>
        </w:r>
      </w:hyperlink>
      <w:r>
        <w:t xml:space="preserve">. You can type the Markdown syntax, use the toolbar, or use shortcuts like</w:t>
      </w:r>
      <w:r>
        <w:t xml:space="preserve"> </w:t>
      </w:r>
      <w:r>
        <w:rPr>
          <w:rStyle w:val="VerbatimChar"/>
        </w:rPr>
        <w:t xml:space="preserve">cmd-b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ctrl-b</w:t>
      </w:r>
      <w:r>
        <w:t xml:space="preserve">.</w:t>
      </w:r>
    </w:p>
    <w:bookmarkStart w:id="23" w:name="lists"/>
    <w:p>
      <w:pPr>
        <w:pStyle w:val="Heading2"/>
      </w:pPr>
      <w:r>
        <w:t xml:space="preserve">Lists</w:t>
      </w:r>
    </w:p>
    <w:p>
      <w:pPr>
        <w:pStyle w:val="FirstParagraph"/>
      </w:pPr>
      <w:r>
        <w:t xml:space="preserve">Unordered lists can be started using the toolbar or by typing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or</w:t>
      </w:r>
      <w:r>
        <w:t xml:space="preserve"> </w:t>
      </w:r>
      <w:r>
        <w:rPr>
          <w:rStyle w:val="VerbatimChar"/>
        </w:rPr>
        <w:t xml:space="preserve">+</w:t>
      </w:r>
      <w:r>
        <w:t xml:space="preserve">. Ordered lists can be started by typing</w:t>
      </w:r>
      <w:r>
        <w:t xml:space="preserve"> </w:t>
      </w:r>
      <w:r>
        <w:rPr>
          <w:rStyle w:val="VerbatimChar"/>
        </w:rPr>
        <w:t xml:space="preserve">1.</w:t>
      </w:r>
      <w:r>
        <w:t xml:space="preserve">.</w:t>
      </w:r>
    </w:p>
    <w:bookmarkStart w:id="21" w:name="unordered"/>
    <w:p>
      <w:pPr>
        <w:pStyle w:val="Heading4"/>
      </w:pPr>
      <w:r>
        <w:t xml:space="preserve">Unordered</w:t>
      </w:r>
    </w:p>
    <w:p>
      <w:pPr>
        <w:numPr>
          <w:ilvl w:val="0"/>
          <w:numId w:val="1001"/>
        </w:numPr>
        <w:pStyle w:val="Compact"/>
      </w:pPr>
      <w:r>
        <w:t xml:space="preserve">Lists are a piece of cake</w:t>
      </w:r>
    </w:p>
    <w:p>
      <w:pPr>
        <w:numPr>
          <w:ilvl w:val="0"/>
          <w:numId w:val="1001"/>
        </w:numPr>
        <w:pStyle w:val="Compact"/>
      </w:pPr>
      <w:r>
        <w:t xml:space="preserve">They even auto continue as you type</w:t>
      </w:r>
    </w:p>
    <w:p>
      <w:pPr>
        <w:numPr>
          <w:ilvl w:val="0"/>
          <w:numId w:val="1001"/>
        </w:numPr>
        <w:pStyle w:val="Compact"/>
      </w:pPr>
      <w:r>
        <w:t xml:space="preserve">A double enter will end them</w:t>
      </w:r>
    </w:p>
    <w:p>
      <w:pPr>
        <w:numPr>
          <w:ilvl w:val="0"/>
          <w:numId w:val="1001"/>
        </w:numPr>
        <w:pStyle w:val="Compact"/>
      </w:pPr>
      <w:r>
        <w:t xml:space="preserve">Tabs and shift-tabs work too</w:t>
      </w:r>
    </w:p>
    <w:bookmarkEnd w:id="21"/>
    <w:bookmarkStart w:id="22" w:name="ordered"/>
    <w:p>
      <w:pPr>
        <w:pStyle w:val="Heading4"/>
      </w:pPr>
      <w:r>
        <w:t xml:space="preserve">Ordered</w:t>
      </w:r>
    </w:p>
    <w:p>
      <w:pPr>
        <w:numPr>
          <w:ilvl w:val="0"/>
          <w:numId w:val="1002"/>
        </w:numPr>
        <w:pStyle w:val="Compact"/>
      </w:pPr>
      <w:r>
        <w:t xml:space="preserve">Numbered lists…</w:t>
      </w:r>
    </w:p>
    <w:p>
      <w:pPr>
        <w:numPr>
          <w:ilvl w:val="0"/>
          <w:numId w:val="1002"/>
        </w:numPr>
        <w:pStyle w:val="Compact"/>
      </w:pPr>
      <w:r>
        <w:t xml:space="preserve">…work too!</w:t>
      </w:r>
    </w:p>
    <w:p>
      <w:pPr>
        <w:pStyle w:val="FirstParagraph"/>
      </w:pPr>
      <w:r>
        <w:t xml:space="preserve">Some sentence that needs citation</w:t>
      </w:r>
      <w:r>
        <w:t xml:space="preserve"> </w:t>
      </w:r>
      <w:r>
        <w:t xml:space="preserve">[1] argues that too</w:t>
      </w:r>
    </w:p>
    <w:bookmarkEnd w:id="22"/>
    <w:bookmarkEnd w:id="23"/>
    <w:bookmarkStart w:id="27" w:name="what-about-images"/>
    <w:p>
      <w:pPr>
        <w:pStyle w:val="Heading2"/>
      </w:pPr>
      <w:r>
        <w:t xml:space="preserve">What about images?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UNIMI" title="" id="25" name="Picture"/>
            <a:graphic>
              <a:graphicData uri="http://schemas.openxmlformats.org/drawingml/2006/picture">
                <pic:pic>
                  <pic:nvPicPr>
                    <pic:cNvPr descr="https://www.erasmusmilan.com/wp-content/uploads/2016/02/Statale-e1478865636847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UNIMI</w:t>
      </w:r>
    </w:p>
    <w:bookmarkEnd w:id="27"/>
    <w:bookmarkStart w:id="30" w:name="bibliography"/>
    <w:p>
      <w:pPr>
        <w:pStyle w:val="Heading2"/>
      </w:pPr>
      <w:r>
        <w:t xml:space="preserve">Bibliography</w:t>
      </w:r>
    </w:p>
    <w:bookmarkStart w:id="29" w:name="refs"/>
    <w:bookmarkStart w:id="28" w:name="ref-barbon2020evaluating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S. Barbon Junior, P. Ceravolo, E. Damiani, and G. Marques Tavares,</w:t>
      </w:r>
      <w:r>
        <w:t xml:space="preserve"> </w:t>
      </w:r>
      <w:r>
        <w:t xml:space="preserve">“Evaluating trace encoding methods in process mining,”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International symposium: From data to models and back</w:t>
      </w:r>
      <w:r>
        <w:t xml:space="preserve">, 2020, pp. 174–189.</w:t>
      </w:r>
    </w:p>
    <w:bookmarkEnd w:id="28"/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20" Target="https://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Plain Text Workflow</dc:title>
  <dc:creator>ED class</dc:creator>
  <cp:keywords/>
  <dcterms:created xsi:type="dcterms:W3CDTF">2022-11-18T10:34:48Z</dcterms:created>
  <dcterms:modified xsi:type="dcterms:W3CDTF">2022-11-18T10:34:48Z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csl">
    <vt:lpwstr>IEEE.csl</vt:lpwstr>
  </property>
  <property fmtid="{D5CDD505-2E9C-101B-9397-08002B2CF9AE}" pid="4" name="date">
    <vt:lpwstr>20 novembre 2022</vt:lpwstr>
  </property>
</Properties>
</file>