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w:t>
      </w:r>
      <w:bookmarkStart w:id="0" w:name="_GoBack"/>
      <w:bookmarkEnd w:id="0"/>
      <w:r w:rsidRPr="00792781">
        <w:rPr>
          <w:rFonts w:ascii="Arial" w:hAnsi="Arial" w:cs="Arial"/>
          <w:color w:val="333333"/>
          <w:shd w:val="clear" w:color="auto" w:fill="FFFFFF"/>
          <w:lang w:val="en-US"/>
        </w:rPr>
        <w:t>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DD5371" w:rsidRPr="00792781" w:rsidRDefault="00997260" w:rsidP="00DD5371">
      <w:pPr>
        <w:rPr>
          <w:rFonts w:ascii="Arial" w:hAnsi="Arial" w:cs="Arial"/>
          <w:b/>
          <w:sz w:val="24"/>
          <w:lang w:val="en-US"/>
        </w:rPr>
      </w:pPr>
      <w:r>
        <w:rPr>
          <w:rFonts w:ascii="Arial" w:hAnsi="Arial" w:cs="Arial"/>
          <w:b/>
          <w:sz w:val="24"/>
          <w:lang w:val="en-US"/>
        </w:rPr>
        <w:br/>
      </w:r>
      <w:r w:rsidR="00E444F3">
        <w:rPr>
          <w:rFonts w:ascii="Arial" w:hAnsi="Arial" w:cs="Arial"/>
          <w:b/>
          <w:sz w:val="24"/>
          <w:lang w:val="en-US"/>
        </w:rPr>
        <w:t>Time Points</w:t>
      </w:r>
    </w:p>
    <w:p w:rsidR="00EB7603" w:rsidRPr="00792781" w:rsidRDefault="00E444F3" w:rsidP="00DD5371">
      <w:pPr>
        <w:rPr>
          <w:rFonts w:ascii="Arial" w:hAnsi="Arial" w:cs="Arial"/>
          <w:color w:val="303633"/>
          <w:shd w:val="clear" w:color="auto" w:fill="FFFFFF"/>
          <w:lang w:val="en-US"/>
        </w:rPr>
      </w:pPr>
      <w:r>
        <w:rPr>
          <w:rFonts w:ascii="Arial" w:hAnsi="Arial" w:cs="Arial"/>
          <w:color w:val="303633"/>
          <w:shd w:val="clear" w:color="auto" w:fill="FFFFFF"/>
          <w:lang w:val="en-US"/>
        </w:rPr>
        <w:t xml:space="preserve">Events have </w:t>
      </w:r>
      <w:r w:rsidR="00DD5371" w:rsidRPr="00792781">
        <w:rPr>
          <w:rFonts w:ascii="Arial" w:hAnsi="Arial" w:cs="Arial"/>
          <w:color w:val="303633"/>
          <w:shd w:val="clear" w:color="auto" w:fill="FFFFFF"/>
          <w:lang w:val="en-US"/>
        </w:rPr>
        <w:t>different source data, since they can represent many different things. However two important things that events should have are </w:t>
      </w:r>
      <w:hyperlink r:id="rId8"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There are two distinct </w:t>
      </w:r>
      <w:hyperlink r:id="rId9" w:history="1">
        <w:r w:rsidR="00DD5371" w:rsidRPr="00792781">
          <w:rPr>
            <w:rStyle w:val="Collegamentoipertestuale"/>
            <w:rFonts w:ascii="Arial" w:hAnsi="Arial" w:cs="Arial"/>
            <w:color w:val="94388E"/>
            <w:u w:val="none"/>
            <w:bdr w:val="none" w:sz="0" w:space="0" w:color="auto" w:frame="1"/>
            <w:shd w:val="clear" w:color="auto" w:fill="FFFFFF"/>
            <w:lang w:val="en-US"/>
          </w:rPr>
          <w:t>Time Points</w:t>
        </w:r>
      </w:hyperlink>
      <w:r w:rsidR="00DD5371" w:rsidRPr="00792781">
        <w:rPr>
          <w:rFonts w:ascii="Arial" w:hAnsi="Arial" w:cs="Arial"/>
          <w:color w:val="303633"/>
          <w:shd w:val="clear" w:color="auto" w:fill="FFFFFF"/>
          <w:lang w:val="en-US"/>
        </w:rPr>
        <w:t> that we should always consider: the time the event occurred and the time</w:t>
      </w:r>
      <w:r>
        <w:rPr>
          <w:rFonts w:ascii="Arial" w:hAnsi="Arial" w:cs="Arial"/>
          <w:color w:val="303633"/>
          <w:shd w:val="clear" w:color="auto" w:fill="FFFFFF"/>
          <w:lang w:val="en-US"/>
        </w:rPr>
        <w:t xml:space="preserve"> the system noticed the event.</w:t>
      </w:r>
    </w:p>
    <w:p w:rsidR="00E444F3"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p>
    <w:p w:rsidR="00DD5371" w:rsidRPr="00B43CAE" w:rsidRDefault="00E444F3" w:rsidP="00DD5371">
      <w:pPr>
        <w:rPr>
          <w:rFonts w:ascii="Arial" w:hAnsi="Arial" w:cs="Arial"/>
          <w:color w:val="303633"/>
          <w:shd w:val="clear" w:color="auto" w:fill="FFFFFF"/>
        </w:rPr>
      </w:pPr>
      <w:r>
        <w:rPr>
          <w:rFonts w:ascii="Arial" w:hAnsi="Arial" w:cs="Arial"/>
          <w:b/>
          <w:sz w:val="24"/>
          <w:lang w:val="en-US"/>
        </w:rPr>
        <w:t>Command VS Event</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12"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3"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4"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cambiamento. Entrambi possono essere </w:t>
      </w:r>
      <w:proofErr w:type="spellStart"/>
      <w:r w:rsidRPr="00792781">
        <w:rPr>
          <w:rFonts w:ascii="Arial" w:hAnsi="Arial" w:cs="Arial"/>
        </w:rPr>
        <w:t>wrappati</w:t>
      </w:r>
      <w:proofErr w:type="spellEnd"/>
      <w:r w:rsidRPr="00792781">
        <w:rPr>
          <w:rFonts w:ascii="Arial" w:hAnsi="Arial" w:cs="Arial"/>
        </w:rPr>
        <w:t xml:space="preserve"> in singoli oggetti</w:t>
      </w:r>
      <w:r w:rsidR="00B43CAE">
        <w:rPr>
          <w:rFonts w:ascii="Arial" w:hAnsi="Arial" w:cs="Arial"/>
        </w:rPr>
        <w:t>)</w:t>
      </w:r>
      <w:r w:rsidRPr="00792781">
        <w:rPr>
          <w:rFonts w:ascii="Arial" w:hAnsi="Arial" w:cs="Arial"/>
        </w:rPr>
        <w:t>.</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Pr="00767E73"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xml:space="preserve">.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5"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w:t>
      </w:r>
      <w:r w:rsidRPr="00792781">
        <w:rPr>
          <w:rFonts w:ascii="Arial" w:hAnsi="Arial" w:cs="Arial"/>
          <w:color w:val="303633"/>
          <w:shd w:val="clear" w:color="auto" w:fill="FFFFFF"/>
          <w:lang w:val="en-US"/>
        </w:rPr>
        <w:lastRenderedPageBreak/>
        <w:t xml:space="preserve">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7"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8"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9"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20"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 xml:space="preserve">If the input events don't follow the difference approach, then the event should ensure it stores everything needed for reversal during processing. You can do this by storing the previous values </w:t>
      </w:r>
      <w:r w:rsidR="0020365F" w:rsidRPr="00792781">
        <w:rPr>
          <w:rFonts w:ascii="Arial" w:hAnsi="Arial" w:cs="Arial"/>
          <w:color w:val="303633"/>
          <w:lang w:val="en-US"/>
        </w:rPr>
        <w:lastRenderedPageBreak/>
        <w:t>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21"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2"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w:t>
      </w:r>
      <w:r>
        <w:rPr>
          <w:rFonts w:ascii="Arial" w:hAnsi="Arial" w:cs="Arial"/>
          <w:color w:val="303633"/>
          <w:sz w:val="22"/>
        </w:rPr>
        <w:lastRenderedPageBreak/>
        <w:t>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350DE8" w:rsidP="00FC3604">
      <w:pPr>
        <w:rPr>
          <w:rFonts w:ascii="Arial" w:hAnsi="Arial" w:cs="Arial"/>
          <w:b/>
          <w:lang w:val="en-US"/>
        </w:rPr>
      </w:pPr>
      <w:hyperlink r:id="rId23"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4"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5"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6"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7"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8" w:history="1">
        <w:r w:rsidRPr="00792781">
          <w:rPr>
            <w:rStyle w:val="Collegamentoipertestuale"/>
            <w:rFonts w:ascii="Arial" w:hAnsi="Arial" w:cs="Arial"/>
            <w:color w:val="94388E"/>
            <w:u w:val="none"/>
            <w:bdr w:val="none" w:sz="0" w:space="0" w:color="auto" w:frame="1"/>
            <w:lang w:val="en-US"/>
          </w:rPr>
          <w:t>eventual c</w:t>
        </w:r>
        <w:r w:rsidRPr="00792781">
          <w:rPr>
            <w:rStyle w:val="Collegamentoipertestuale"/>
            <w:rFonts w:ascii="Arial" w:hAnsi="Arial" w:cs="Arial"/>
            <w:color w:val="94388E"/>
            <w:u w:val="none"/>
            <w:bdr w:val="none" w:sz="0" w:space="0" w:color="auto" w:frame="1"/>
            <w:lang w:val="en-US"/>
          </w:rPr>
          <w:t>o</w:t>
        </w:r>
        <w:r w:rsidRPr="00792781">
          <w:rPr>
            <w:rStyle w:val="Collegamentoipertestuale"/>
            <w:rFonts w:ascii="Arial" w:hAnsi="Arial" w:cs="Arial"/>
            <w:color w:val="94388E"/>
            <w:u w:val="none"/>
            <w:bdr w:val="none" w:sz="0" w:space="0" w:color="auto" w:frame="1"/>
            <w:lang w:val="en-US"/>
          </w:rPr>
          <w:t>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9" w:history="1">
        <w:r w:rsidRPr="00792781">
          <w:rPr>
            <w:rStyle w:val="Collegamentoipertestuale"/>
            <w:rFonts w:ascii="Arial" w:hAnsi="Arial" w:cs="Arial"/>
            <w:color w:val="94388E"/>
            <w:u w:val="none"/>
            <w:bdr w:val="none" w:sz="0" w:space="0" w:color="auto" w:frame="1"/>
            <w:lang w:val="en-US"/>
          </w:rPr>
          <w:t>Domain</w:t>
        </w:r>
        <w:r w:rsidRPr="00792781">
          <w:rPr>
            <w:rStyle w:val="Collegamentoipertestuale"/>
            <w:rFonts w:ascii="Arial" w:hAnsi="Arial" w:cs="Arial"/>
            <w:color w:val="94388E"/>
            <w:u w:val="none"/>
            <w:bdr w:val="none" w:sz="0" w:space="0" w:color="auto" w:frame="1"/>
            <w:lang w:val="en-US"/>
          </w:rPr>
          <w:t>-</w:t>
        </w:r>
        <w:r w:rsidRPr="00792781">
          <w:rPr>
            <w:rStyle w:val="Collegamentoipertestuale"/>
            <w:rFonts w:ascii="Arial" w:hAnsi="Arial" w:cs="Arial"/>
            <w:color w:val="94388E"/>
            <w:u w:val="none"/>
            <w:bdr w:val="none" w:sz="0" w:space="0" w:color="auto" w:frame="1"/>
            <w:lang w:val="en-US"/>
          </w:rPr>
          <w:t>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lastRenderedPageBreak/>
        <w:t>PRIMA</w:t>
      </w:r>
    </w:p>
    <w:p w:rsidR="00F8088B" w:rsidRPr="00E444F3" w:rsidRDefault="00E444F3" w:rsidP="005022F9">
      <w:pPr>
        <w:rPr>
          <w:rFonts w:ascii="Arial" w:hAnsi="Arial" w:cs="Arial"/>
          <w:color w:val="303633"/>
          <w:shd w:val="clear" w:color="auto" w:fill="FFFFFF"/>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30"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31"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lastRenderedPageBreak/>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non adatto a sistemi troppo complessi</w:t>
      </w:r>
      <w:r w:rsidR="00F8088B" w:rsidRPr="00792781">
        <w:rPr>
          <w:rFonts w:ascii="Arial" w:hAnsi="Arial" w:cs="Arial"/>
          <w:color w:val="303633"/>
          <w:shd w:val="clear" w:color="auto" w:fill="FFFFFF"/>
        </w:rPr>
        <w:t xml:space="preserve"> ma 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A2B3F"/>
    <w:rsid w:val="000C2257"/>
    <w:rsid w:val="000E59EE"/>
    <w:rsid w:val="00120140"/>
    <w:rsid w:val="00172933"/>
    <w:rsid w:val="0020365F"/>
    <w:rsid w:val="002434F6"/>
    <w:rsid w:val="00244BAF"/>
    <w:rsid w:val="0032663F"/>
    <w:rsid w:val="00350DE8"/>
    <w:rsid w:val="00393288"/>
    <w:rsid w:val="003C2FCF"/>
    <w:rsid w:val="00451552"/>
    <w:rsid w:val="0046125C"/>
    <w:rsid w:val="00462903"/>
    <w:rsid w:val="00464762"/>
    <w:rsid w:val="004F49E2"/>
    <w:rsid w:val="005022F9"/>
    <w:rsid w:val="005608F3"/>
    <w:rsid w:val="00600F42"/>
    <w:rsid w:val="00643083"/>
    <w:rsid w:val="006D18CD"/>
    <w:rsid w:val="00721B6C"/>
    <w:rsid w:val="007602AB"/>
    <w:rsid w:val="00767E73"/>
    <w:rsid w:val="00792781"/>
    <w:rsid w:val="00810FA6"/>
    <w:rsid w:val="00932132"/>
    <w:rsid w:val="009362B1"/>
    <w:rsid w:val="00971320"/>
    <w:rsid w:val="00997260"/>
    <w:rsid w:val="009E420F"/>
    <w:rsid w:val="00A13A05"/>
    <w:rsid w:val="00A920AB"/>
    <w:rsid w:val="00B004DB"/>
    <w:rsid w:val="00B06527"/>
    <w:rsid w:val="00B43CAE"/>
    <w:rsid w:val="00B836EF"/>
    <w:rsid w:val="00C97C07"/>
    <w:rsid w:val="00CA0557"/>
    <w:rsid w:val="00CA20CB"/>
    <w:rsid w:val="00D04C4E"/>
    <w:rsid w:val="00D22593"/>
    <w:rsid w:val="00D97F9D"/>
    <w:rsid w:val="00DA7ADC"/>
    <w:rsid w:val="00DD5371"/>
    <w:rsid w:val="00E05F3A"/>
    <w:rsid w:val="00E26C79"/>
    <w:rsid w:val="00E444F3"/>
    <w:rsid w:val="00EB7603"/>
    <w:rsid w:val="00F8088B"/>
    <w:rsid w:val="00FA0CC0"/>
    <w:rsid w:val="00FC3604"/>
    <w:rsid w:val="00FC3A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60E9"/>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Dev/EventCollaboration.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martinfowler.com/eaaDev/EventCollaboration.html" TargetMode="External"/><Relationship Id="rId3" Type="http://schemas.openxmlformats.org/officeDocument/2006/relationships/settings" Target="settings.xml"/><Relationship Id="rId21" Type="http://schemas.openxmlformats.org/officeDocument/2006/relationships/hyperlink" Target="https://martinfowler.com/eaaCatalog/gateway.html" TargetMode="External"/><Relationship Id="rId7" Type="http://schemas.openxmlformats.org/officeDocument/2006/relationships/image" Target="media/image3.jpeg"/><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s://martinfowler.com/eaaDev/EventNarrativ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Catalog/transactionScript.html" TargetMode="External"/><Relationship Id="rId29" Type="http://schemas.openxmlformats.org/officeDocument/2006/relationships/hyperlink" Target="https://www.amazon.com/gp/product/0321125215?ie=UTF8&amp;tag=martinfowlerc-20&amp;linkCode=as2&amp;camp=1789&amp;creative=9325&amp;creativeASIN=032112521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Collaboration.html" TargetMode="External"/><Relationship Id="rId24" Type="http://schemas.openxmlformats.org/officeDocument/2006/relationships/hyperlink" Target="https://twitter.com/gregyoun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artinfowler.com/eaaDev/EventSourcing.html" TargetMode="External"/><Relationship Id="rId23" Type="http://schemas.openxmlformats.org/officeDocument/2006/relationships/hyperlink" Target="https://cqrs.files.wordpress.com/2010/11/cqrs_documents.pdf" TargetMode="External"/><Relationship Id="rId28" Type="http://schemas.openxmlformats.org/officeDocument/2006/relationships/hyperlink" Target="http://www.allthingsdistributed.com/2008/12/eventually_consistent.html" TargetMode="External"/><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domainModel.html"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martinfowler.com/eaaDev/TimePoint.html" TargetMode="External"/><Relationship Id="rId14" Type="http://schemas.openxmlformats.org/officeDocument/2006/relationships/hyperlink" Target="https://martinfowler.com/eaaDev/EventCollaboration.html" TargetMode="External"/><Relationship Id="rId22" Type="http://schemas.openxmlformats.org/officeDocument/2006/relationships/hyperlink" Target="https://martinfowler.com/eaaDev/TemporalProperty.html" TargetMode="External"/><Relationship Id="rId27" Type="http://schemas.openxmlformats.org/officeDocument/2006/relationships/hyperlink" Target="https://martinfowler.com/eaaDev/EventSourcing.html" TargetMode="External"/><Relationship Id="rId30" Type="http://schemas.openxmlformats.org/officeDocument/2006/relationships/image" Target="media/image4.jpeg"/><Relationship Id="rId8" Type="http://schemas.openxmlformats.org/officeDocument/2006/relationships/hyperlink" Target="https://martinfowler.com/eaaDev/TimePoin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Pages>
  <Words>3922</Words>
  <Characters>22362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20</cp:revision>
  <dcterms:created xsi:type="dcterms:W3CDTF">2019-06-10T07:34:00Z</dcterms:created>
  <dcterms:modified xsi:type="dcterms:W3CDTF">2019-06-12T16:29:00Z</dcterms:modified>
</cp:coreProperties>
</file>