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各位股东：</w:t>
      </w:r>
    </w:p>
    <w:p>
      <w:pPr>
        <w:spacing w:after="2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见信好。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各位股东：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见信好。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上次向各位汇报是3月10日，至今已近两个月。这段时间，团队在研发和市场两端保持了较高的推进强度。总体而言，进展超出预期，但面临的挑战也更为复杂。本封信将如实同步我们取得的突破、遇到的困难，以及后续的规划。</w:t>
      </w:r>
    </w:p>
    <w:p>
      <w:pPr>
        <w:spacing w:after="120" w:before="360"/>
      </w:pPr>
      <w:r>
        <w:rPr>
          <w:rFonts w:ascii="SimSun" w:cs="SimSun" w:eastAsia="SimSun" w:hAnsi="SimSun"/>
          <w:b/>
          <w:bCs/>
          <w:color w:val="000000"/>
          <w:sz w:val="28"/>
          <w:szCs w:val="28"/>
        </w:rPr>
        <w:t xml:space="preserve">一、核心进展：产品品质获得行业认可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过去两个月最重要的成果，是我们的单壁碳纳米管粉体产品首次获得了行业的正面反馈。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技术指标如下：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2"/>
                <w:szCs w:val="22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2"/>
                <w:szCs w:val="22"/>
              </w:rPr>
              <w:t xml:space="preserve">我方数据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2"/>
                <w:szCs w:val="22"/>
              </w:rPr>
              <w:t xml:space="preserve">行业参考</w:t>
            </w:r>
          </w:p>
        </w:tc>
      </w:tr>
      <w:tr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提纯前纯度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&gt;96%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国际一流约92%</w:t>
            </w:r>
          </w:p>
        </w:tc>
      </w:tr>
      <w:tr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提纯后纯度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≥99.5%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G/D比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&gt;68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国内第一梯队</w:t>
            </w:r>
          </w:p>
        </w:tc>
      </w:tr>
      <w:tr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比表面积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744 m²/g</w:t>
            </w:r>
          </w:p>
        </w:tc>
        <w:tc>
          <w:tcPr>
            <w:tcW w:type="dxa" w:w="300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TEM扫描图像亦支持上述结论，相关检测数据和图像可应要求提供。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从产业链角度看，单壁碳纳米管的核心环节包括配方、设备、浆料、渠道四个方面。浆料环节技术门槛相对较低，我们计划外包处理；配方环节门槛最高，目前已基本攻克，后续将持续优化；设备环节在配方确定后，主要取决于资金和时间投入；渠道环节目前由海外厂商主导，但市场格局正在发生变化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最难的技术关口已经突破。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此外，浙江湖州一家碳纳米管设备厂商在了解我们的产品后，主动提出希望通过投资进行股权合作。四月底我们已赴当地考察，具体合作形式（股权合作或普通合作）仍在商谈中。</w:t>
      </w:r>
    </w:p>
    <w:p>
      <w:pPr>
        <w:spacing w:after="120" w:before="360"/>
      </w:pPr>
      <w:r>
        <w:rPr>
          <w:rFonts w:ascii="SimSun" w:cs="SimSun" w:eastAsia="SimSun" w:hAnsi="SimSun"/>
          <w:b/>
          <w:bCs/>
          <w:color w:val="000000"/>
          <w:sz w:val="28"/>
          <w:szCs w:val="28"/>
        </w:rPr>
        <w:t xml:space="preserve">二、产业链资源加速聚集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上次汇报中提到，将借助宁波天使投资人的产业资源对接下游客户。目前有多条线路在推进：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第一条是弘玺资本周宏推荐的银硅（硅碳负极领域）和全一等企业，这是我们接下来的重点推进方向。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第二条是天赐新材料。五一期间，我们通过渠道联系到九江天赐的一位资深高管。沟通中了解到天赐对单壁碳纳米管材料存在明确需求，虽然我们目前尚不完全满足其供应商认证标准，但对方表示将积极推动试用及检测报告出具。该高管已约定五六月份带领我们赴广州总部，与集团技术团队进行面对面交流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第三条是亿纬锂能、赣锋锂业等一线电池厂商。这些企业对供应商的认证要求较为严格，涉及生产体系认证（ISO14001等）、质检体系、检测设备等方面，我们目前尚有差距。当前策略是先建立联系，为后续合作打下基础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全钒液流电池方面同样有所推进。四月下旬，我们与某百亿估值能源企业的董事长取得联系，有望在该领域开展合作。无论是股权投资还是技术服务形式，均可为公司带来一笔可观的现金收入。宁波本地的示范项目仍在推进中，但市场环境较此前预期更为复杂，我们将保持审慎态度，持续推进。</w:t>
      </w:r>
    </w:p>
    <w:p>
      <w:pPr>
        <w:spacing w:after="120" w:before="360"/>
      </w:pPr>
      <w:r>
        <w:rPr>
          <w:rFonts w:ascii="SimSun" w:cs="SimSun" w:eastAsia="SimSun" w:hAnsi="SimSun"/>
          <w:b/>
          <w:bCs/>
          <w:color w:val="000000"/>
          <w:sz w:val="28"/>
          <w:szCs w:val="28"/>
        </w:rPr>
        <w:t xml:space="preserve">三、当前面临的主要困难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在汇报进展的同时，我们也需要正视当前面临的挑战。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首先是渠道门槛问题。一线电池厂商对供应商的认证体系要求严格，包括ISO14001生产体系认证、完善的质检体系、齐全的检测设备等，这些我们目前尚未完全具备。短期内只能先建立联系，逐步完善相关资质。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其次是认证周期较长。锂电渠道测试的硬性周期约为8-10个月，考虑到人员安排和各类客观因素，实际耗时可能更长。测试物料费用超过10万元。要加快这一进程，恐怕还得想办法找到关键节点进行突破。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再次是时间窗口压力。据近期接触的下游客户反馈，海外OCSiAl占据了超过90%的市场份额。国内天奈、道氏等企业以多壁管为主，单壁管产品质量有限但价格较低。烯沃（近期完成数千万元融资）等新兴企业，产品品质仍有较大提升空间。值得关注的是，过去一年多单壁碳纳米管价格呈快速下降趋势。这既是机遇也是风险——机遇在于下游需求正在快速打开，风险在于若未能在两年内实现产业化落地，完成高质量、吨级产能的建设，市场窗口可能将会关闭。</w:t>
      </w:r>
    </w:p>
    <w:p>
      <w:pPr>
        <w:spacing w:after="120" w:before="360"/>
      </w:pPr>
      <w:r>
        <w:rPr>
          <w:rFonts w:ascii="SimSun" w:cs="SimSun" w:eastAsia="SimSun" w:hAnsi="SimSun"/>
          <w:b/>
          <w:bCs/>
          <w:color w:val="000000"/>
          <w:sz w:val="28"/>
          <w:szCs w:val="28"/>
        </w:rPr>
        <w:t xml:space="preserve">四、后续规划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短期（1-2个月）：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持续优化配方，尽快将产品性能提升至行业顶尖水平。目前已有明确的技术路径，预计一两个月内可取得进展。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推动全钒液流电池技术服务项目实质性落地，争取一两个月内取得实质性进展。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完成天赐新材料的测试报告出具工作，预计两三个月内完成。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中期（3-6个月）：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重点推进设备环节的打通。目前主要有两条路径：与湖州设备厂商合作，或自主研发。具体方案将根据合作谈判进展确定，同时也需要内部进行相应的技术可行性研讨。同时，通过全钒液流电池技术服务形成正向现金流，为设备研发提供资金支持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融资方面，计划今年完成新一轮融资（500-1000万元），主要用于设备研发（预计200-300万元）及初步产能构建。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长期（6-12个月）：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目标是为年产吨级的生产能力做好技术准备，同时持续推进客户对接和订单获取。</w:t>
      </w:r>
    </w:p>
    <w:p>
      <w:pPr>
        <w:spacing w:after="120" w:before="360"/>
      </w:pPr>
      <w:r>
        <w:rPr>
          <w:rFonts w:ascii="SimSun" w:cs="SimSun" w:eastAsia="SimSun" w:hAnsi="SimSun"/>
          <w:b/>
          <w:bCs/>
          <w:color w:val="000000"/>
          <w:sz w:val="28"/>
          <w:szCs w:val="28"/>
        </w:rPr>
        <w:t xml:space="preserve">五、总结与展望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过去两个月，从一月底完成设备搭建，到三月底四月初完成最具难度的配方确定（期间跨越春节假期），团队的研发能力已得到初步验证。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市场环境确实比预期更为复杂，但我们的判断是：只要能够以最快速度推出足够优质的产品，匹配真实的市场需求，证明技术价值的真实存在，那么资金问题将不再是核心障碍。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接下来一个月，预计将看到以下进展：配方进一步优化、天赐测试报告推进、全钒液流电池技术服务项目取得实质进展、设备公司合作方案明确。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我们的目标是在未来一年内，逐步完成从技术验证到产品交付的全过程。这一过程不会一帆风顺，但方向清晰，节奏可控。</w:t>
      </w:r>
    </w:p>
    <w:p>
      <w:pPr>
        <w:spacing w:after="120"/>
        <w:ind w:firstLine="48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如有任何问题，请随时与我联系。</w:t>
      </w:r>
    </w:p>
    <w:p>
      <w:pPr>
        <w:spacing w:before="2000"/>
      </w:pPr>
    </w:p>
    <w:p>
      <w:pPr>
        <w:spacing w:after="60"/>
        <w:jc w:val="right"/>
      </w:pPr>
      <w:r>
        <w:rPr>
          <w:rFonts w:ascii="SimSun" w:cs="SimSun" w:eastAsia="SimSun" w:hAnsi="SimSun"/>
          <w:sz w:val="24"/>
          <w:szCs w:val="24"/>
        </w:rPr>
        <w:t xml:space="preserve">程子强</w:t>
      </w:r>
    </w:p>
    <w:p>
      <w:pPr>
        <w:jc w:val="right"/>
      </w:pPr>
      <w:r>
        <w:rPr>
          <w:rFonts w:ascii="SimSun" w:cs="SimSun" w:eastAsia="SimSun" w:hAnsi="SimSun"/>
          <w:sz w:val="24"/>
          <w:szCs w:val="24"/>
        </w:rPr>
        <w:t xml:space="preserve">2026年5月5日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第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0000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143000" cy="333375"/>
          <wp:effectExtent t="0" r="0" b="0" l="0"/>
          <wp:docPr id="1" name="Logo" descr="毅湃科技 Logo" title="毅湃科技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57af75dc47666f669f01c3113fc94ae7405947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2026-05-05T16:28:09.628Z</dcterms:created>
  <dcterms:modified xsi:type="dcterms:W3CDTF">2026-05-05T16:28:09.631Z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