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vediamo come sono i dati e notiamo che c’è una netta differenza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iniziamo perciò a caratterizzare questi dati attraverso health related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 a differenza di quello che ci aspettavamo non c’è interazione fra diagnosi e i 3 fattori: bmi, bis, age e quindi non ne teniamo in conto nel nostro percorso di indagine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Iniziamo quindi la vera indagine chiarendo che opereremo in due direzioni: reaction tempo e accuracy: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una parte abbiamo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Moving on to Accuracy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from the two indexes general and switch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Diversamnte da come ci aspettiamo, gli errori degli schz si concentrano sui noswitch trials: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questo è dovuto al fatto che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pc: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  pc while still explaining biological sigal, this one coerentemente con l'esperimento , shows the delay between hand eye …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: but the most interesting one is the 3rd because we notice a relationship with the dopamine production circuit, which is a good finding since it is coherent with the literature according to which schizophrenic brains are known to under produce dopamine.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 è vero che ci sono effettive differenze in certe regioni cerebrali (dorso prefrontal cortex), infatti gli scores non permettono una discrimazione fra i due gruppi.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 questa andrà cercata in the interaction of all the neural activities, in the single participant’s brain: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coherent also with the 3rd conclusion given us by LMM: a lot of the variability between data is due to the intrinsic differences (to be looked for in the neural activities) and not the group they belong 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SCOTT: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 introduci l’indice, poi ne parli x2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Moving out to Accuracy we've found out that measuring the number of correct answer of total of trial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show a higher accuracy than ..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result wasn't the one we've found when we 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we saw was t the CTRL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most of their mistake were inìncetrated non switch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in sChZ didn't seem to be affected as much by switching: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both cases the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insensitivity = stesso switchcost, no different effort in the 2 gorups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gli schz hanno problemi a tenere a mente il tsk set ( cioè limpostazionie del task) un cambio del set non è un grande ostacolo.  infatti negli sczh hanno grande swtich accuracy, maggiore dei ctrl.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nei ctrl invece lo switch è un ostacolo maggiore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perciò per loro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