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C62D" w14:textId="5DE9FB2E" w:rsidR="00A57D66" w:rsidRPr="00A57D66" w:rsidRDefault="00A57D66">
      <w:pPr>
        <w:rPr>
          <w:b/>
          <w:bCs/>
          <w:lang w:val="en-GB"/>
        </w:rPr>
      </w:pPr>
      <w:r w:rsidRPr="00A57D66">
        <w:rPr>
          <w:b/>
          <w:bCs/>
          <w:lang w:val="en-GB"/>
        </w:rPr>
        <w:t>IMPULSIVITY AND BARRATT TEST</w:t>
      </w:r>
    </w:p>
    <w:p w14:paraId="6FAB6051" w14:textId="5D232627" w:rsidR="00A57D66" w:rsidRPr="00A57D66" w:rsidRDefault="00A57D66">
      <w:pPr>
        <w:rPr>
          <w:rFonts w:ascii="Abadi" w:hAnsi="Abadi"/>
          <w:color w:val="2E2E2E"/>
          <w:sz w:val="24"/>
          <w:szCs w:val="24"/>
          <w:lang w:val="en-GB"/>
        </w:rPr>
      </w:pPr>
      <w:r w:rsidRPr="00A57D66">
        <w:rPr>
          <w:rFonts w:ascii="Abadi" w:hAnsi="Abadi"/>
          <w:sz w:val="24"/>
          <w:szCs w:val="24"/>
          <w:u w:val="single"/>
          <w:lang w:val="en-GB"/>
        </w:rPr>
        <w:t>Impulsivity is a behavioural trait</w:t>
      </w:r>
      <w:r w:rsidRPr="00A57D66">
        <w:rPr>
          <w:rFonts w:ascii="Abadi" w:hAnsi="Abadi"/>
          <w:sz w:val="24"/>
          <w:szCs w:val="24"/>
          <w:lang w:val="en-GB"/>
        </w:rPr>
        <w:t xml:space="preserve">: </w:t>
      </w:r>
      <w:r>
        <w:rPr>
          <w:rFonts w:ascii="Abadi" w:hAnsi="Abadi"/>
          <w:color w:val="2E2E2E"/>
          <w:sz w:val="24"/>
          <w:szCs w:val="24"/>
          <w:lang w:val="en-GB"/>
        </w:rPr>
        <w:t>“</w:t>
      </w:r>
      <w:r w:rsidRPr="00A57D66">
        <w:rPr>
          <w:rFonts w:ascii="Abadi" w:hAnsi="Abadi"/>
          <w:color w:val="2E2E2E"/>
          <w:sz w:val="24"/>
          <w:szCs w:val="24"/>
          <w:lang w:val="en-GB"/>
        </w:rPr>
        <w:t>a predisposition toward rapid unplanned reactions to internal or external stimuli without regard to the negative consequences of these reactions to themselves or others</w:t>
      </w:r>
      <w:r>
        <w:rPr>
          <w:rFonts w:ascii="Abadi" w:hAnsi="Abadi"/>
          <w:color w:val="2E2E2E"/>
          <w:sz w:val="24"/>
          <w:szCs w:val="24"/>
          <w:lang w:val="en-GB"/>
        </w:rPr>
        <w:t>’.”</w:t>
      </w:r>
    </w:p>
    <w:p w14:paraId="30310016" w14:textId="77777777" w:rsidR="00A57D66" w:rsidRPr="00A57D66" w:rsidRDefault="00A57D66" w:rsidP="00A57D66">
      <w:pPr>
        <w:rPr>
          <w:rFonts w:ascii="Abadi" w:hAnsi="Abadi"/>
          <w:color w:val="2E2E2E"/>
          <w:sz w:val="24"/>
          <w:szCs w:val="24"/>
          <w:lang w:val="en-GB"/>
        </w:rPr>
      </w:pPr>
      <w:r w:rsidRPr="00A57D66">
        <w:rPr>
          <w:rFonts w:ascii="Abadi" w:hAnsi="Abadi"/>
          <w:color w:val="2E2E2E"/>
          <w:sz w:val="24"/>
          <w:szCs w:val="24"/>
          <w:lang w:val="en-GB"/>
        </w:rPr>
        <w:t>Functional impulsivity is related to a tendency to make quick decisions when they are required by the situation for personal gain, and dysfunctional impulsivity is related to speedy and irreflexive decisions according.</w:t>
      </w:r>
    </w:p>
    <w:p w14:paraId="4443CA70" w14:textId="0B767983" w:rsidR="00A57D66" w:rsidRDefault="00A57D66">
      <w:pPr>
        <w:rPr>
          <w:rFonts w:ascii="Abadi" w:hAnsi="Abadi"/>
          <w:lang w:val="en-GB"/>
        </w:rPr>
      </w:pPr>
      <w:r w:rsidRPr="00A57D66">
        <w:rPr>
          <w:rFonts w:ascii="Abadi" w:hAnsi="Abadi"/>
          <w:color w:val="2E2E2E"/>
          <w:sz w:val="24"/>
          <w:szCs w:val="24"/>
          <w:lang w:val="en-GB"/>
        </w:rPr>
        <w:t>Pathological impulsivity is often thought of as a core feature of schizophrenia.</w:t>
      </w:r>
    </w:p>
    <w:p w14:paraId="28AAB335" w14:textId="7F115380" w:rsidR="00A57D66" w:rsidRDefault="00A57D66">
      <w:pPr>
        <w:rPr>
          <w:rFonts w:ascii="Abadi" w:hAnsi="Abadi"/>
          <w:lang w:val="en-GB"/>
        </w:rPr>
      </w:pPr>
      <w:r w:rsidRPr="00A57D66">
        <w:rPr>
          <w:rFonts w:ascii="Abadi" w:hAnsi="Abadi"/>
          <w:u w:val="single"/>
          <w:lang w:val="en-GB"/>
        </w:rPr>
        <w:t>Measured through Barratt test</w:t>
      </w:r>
      <w:r>
        <w:rPr>
          <w:rFonts w:ascii="Abadi" w:hAnsi="Abadi"/>
          <w:u w:val="single"/>
          <w:lang w:val="en-GB"/>
        </w:rPr>
        <w:t>:</w:t>
      </w:r>
    </w:p>
    <w:p w14:paraId="5B549277" w14:textId="0B3D0F68" w:rsidR="00CE3F23" w:rsidRPr="00BC057B" w:rsidRDefault="00CE3F23" w:rsidP="00BC057B">
      <w:pPr>
        <w:pStyle w:val="ListParagraph"/>
        <w:numPr>
          <w:ilvl w:val="0"/>
          <w:numId w:val="5"/>
        </w:numPr>
        <w:rPr>
          <w:rFonts w:ascii="Abadi" w:hAnsi="Abadi"/>
          <w:color w:val="2E2E2E"/>
          <w:sz w:val="24"/>
          <w:szCs w:val="24"/>
          <w:lang w:val="en-GB"/>
        </w:rPr>
      </w:pPr>
      <w:r w:rsidRPr="009C0EF1">
        <w:rPr>
          <w:rFonts w:ascii="Abadi" w:hAnsi="Abadi"/>
          <w:color w:val="2E2E2E"/>
          <w:sz w:val="24"/>
          <w:szCs w:val="24"/>
          <w:lang w:val="en-GB"/>
        </w:rPr>
        <w:t>Attentional impulsiveness</w:t>
      </w:r>
    </w:p>
    <w:p w14:paraId="5683C56E" w14:textId="4E5E0420" w:rsidR="00CE3F23" w:rsidRPr="00BC057B" w:rsidRDefault="00CE3F23" w:rsidP="00BC057B">
      <w:pPr>
        <w:pStyle w:val="ListParagraph"/>
        <w:numPr>
          <w:ilvl w:val="0"/>
          <w:numId w:val="5"/>
        </w:numPr>
        <w:rPr>
          <w:rFonts w:ascii="Abadi" w:hAnsi="Abadi"/>
          <w:color w:val="2E2E2E"/>
          <w:sz w:val="24"/>
          <w:szCs w:val="24"/>
          <w:lang w:val="en-GB"/>
        </w:rPr>
      </w:pPr>
      <w:r w:rsidRPr="00BC057B">
        <w:rPr>
          <w:rFonts w:ascii="Abadi" w:hAnsi="Abadi"/>
          <w:color w:val="2E2E2E"/>
          <w:sz w:val="24"/>
          <w:szCs w:val="24"/>
          <w:lang w:val="en-GB"/>
        </w:rPr>
        <w:t>Motor impulsiveness</w:t>
      </w:r>
    </w:p>
    <w:p w14:paraId="183A03E0" w14:textId="07D11127" w:rsidR="00CE3F23" w:rsidRDefault="00CE3F23" w:rsidP="00BC057B">
      <w:pPr>
        <w:pStyle w:val="ListParagraph"/>
        <w:numPr>
          <w:ilvl w:val="0"/>
          <w:numId w:val="5"/>
        </w:numPr>
        <w:rPr>
          <w:rFonts w:ascii="Abadi" w:hAnsi="Abadi"/>
          <w:color w:val="2E2E2E"/>
          <w:sz w:val="24"/>
          <w:szCs w:val="24"/>
          <w:lang w:val="en-GB"/>
        </w:rPr>
      </w:pPr>
      <w:r w:rsidRPr="00BC057B">
        <w:rPr>
          <w:rFonts w:ascii="Abadi" w:hAnsi="Abadi"/>
          <w:color w:val="2E2E2E"/>
          <w:sz w:val="24"/>
          <w:szCs w:val="24"/>
          <w:lang w:val="en-GB"/>
        </w:rPr>
        <w:t>Non-planning impulsiveness</w:t>
      </w:r>
    </w:p>
    <w:p w14:paraId="54A1A266" w14:textId="63E2F99F" w:rsidR="002E6C6B" w:rsidRDefault="002C3126" w:rsidP="002E6C6B">
      <w:pPr>
        <w:rPr>
          <w:rFonts w:ascii="Abadi" w:hAnsi="Abadi"/>
          <w:color w:val="2E2E2E"/>
          <w:sz w:val="24"/>
          <w:szCs w:val="24"/>
          <w:lang w:val="en-GB"/>
        </w:rPr>
      </w:pPr>
      <w:r>
        <w:rPr>
          <w:rFonts w:ascii="Abadi" w:hAnsi="Abadi"/>
          <w:noProof/>
          <w:color w:val="2E2E2E"/>
          <w:sz w:val="24"/>
          <w:szCs w:val="24"/>
          <w:lang w:val="en-GB"/>
        </w:rPr>
        <w:drawing>
          <wp:inline distT="0" distB="0" distL="0" distR="0" wp14:anchorId="55F157A2" wp14:editId="158F303E">
            <wp:extent cx="51435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8421" w14:textId="3353429A" w:rsidR="002E6C6B" w:rsidRPr="00830244" w:rsidRDefault="002E6C6B" w:rsidP="002E6C6B">
      <w:pPr>
        <w:rPr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t>Reference values for Barratt</w:t>
      </w:r>
      <w:r w:rsidR="00830244">
        <w:rPr>
          <w:rFonts w:ascii="Abadi" w:hAnsi="Abadi"/>
          <w:color w:val="2E2E2E"/>
          <w:sz w:val="24"/>
          <w:szCs w:val="24"/>
          <w:lang w:val="en-GB"/>
        </w:rPr>
        <w:t xml:space="preserve">: </w:t>
      </w:r>
      <w:hyperlink r:id="rId6" w:history="1">
        <w:r w:rsidR="00830244" w:rsidRPr="00830244">
          <w:rPr>
            <w:rStyle w:val="Hyperlink"/>
            <w:lang w:val="en-GB"/>
          </w:rPr>
          <w:t>Fifty years of the Barratt Impulsiveness Scale: An update and review (researchgate.net)</w:t>
        </w:r>
      </w:hyperlink>
      <w:r w:rsidR="00830244" w:rsidRPr="00830244">
        <w:rPr>
          <w:lang w:val="en-GB"/>
        </w:rPr>
        <w:t xml:space="preserve"> </w:t>
      </w:r>
      <w:r w:rsidR="00830244">
        <w:rPr>
          <w:lang w:val="en-GB"/>
        </w:rPr>
        <w:t>(attentional refers</w:t>
      </w:r>
      <w:r w:rsidR="0071502C">
        <w:rPr>
          <w:lang w:val="en-GB"/>
        </w:rPr>
        <w:t xml:space="preserve"> to a different aggregate index – not present in our dataset</w:t>
      </w:r>
      <w:r w:rsidR="00BF36BF">
        <w:rPr>
          <w:lang w:val="en-GB"/>
        </w:rPr>
        <w:t>)</w:t>
      </w:r>
    </w:p>
    <w:p w14:paraId="287EA5F8" w14:textId="4EE634CD" w:rsidR="00BC057B" w:rsidRDefault="00BC057B" w:rsidP="00BC057B">
      <w:pPr>
        <w:rPr>
          <w:rFonts w:ascii="Abadi" w:hAnsi="Abadi"/>
          <w:color w:val="2E2E2E"/>
          <w:sz w:val="24"/>
          <w:szCs w:val="24"/>
          <w:lang w:val="en-GB"/>
        </w:rPr>
      </w:pPr>
    </w:p>
    <w:p w14:paraId="2F9FBDFB" w14:textId="1E807A0C" w:rsidR="00F60DD9" w:rsidRDefault="00BC057B" w:rsidP="002C3126">
      <w:pPr>
        <w:rPr>
          <w:rFonts w:ascii="Abadi" w:hAnsi="Abadi"/>
          <w:color w:val="2E2E2E"/>
          <w:sz w:val="24"/>
          <w:szCs w:val="24"/>
          <w:lang w:val="en-GB"/>
        </w:rPr>
      </w:pPr>
      <w:r w:rsidRPr="002C3126">
        <w:rPr>
          <w:rFonts w:ascii="Abadi" w:hAnsi="Abadi"/>
          <w:color w:val="2E2E2E"/>
          <w:sz w:val="24"/>
          <w:szCs w:val="24"/>
          <w:u w:val="single"/>
          <w:lang w:val="en-US"/>
        </w:rPr>
        <w:t xml:space="preserve">Impulsivity and </w:t>
      </w:r>
      <w:r w:rsidR="00F60DD9" w:rsidRPr="002C3126">
        <w:rPr>
          <w:rFonts w:ascii="Abadi" w:hAnsi="Abadi"/>
          <w:color w:val="2E2E2E"/>
          <w:sz w:val="24"/>
          <w:szCs w:val="24"/>
          <w:u w:val="single"/>
          <w:lang w:val="en-US"/>
        </w:rPr>
        <w:t>tests</w:t>
      </w:r>
      <w:r w:rsidR="002C3126" w:rsidRPr="002C3126">
        <w:rPr>
          <w:rFonts w:ascii="Abadi" w:hAnsi="Abadi"/>
          <w:color w:val="2E2E2E"/>
          <w:sz w:val="24"/>
          <w:szCs w:val="24"/>
          <w:u w:val="single"/>
          <w:lang w:val="en-US"/>
        </w:rPr>
        <w:t xml:space="preserve"> </w:t>
      </w:r>
      <w:r w:rsidR="002C3126">
        <w:rPr>
          <w:rFonts w:ascii="Abadi" w:hAnsi="Abadi"/>
          <w:color w:val="2E2E2E"/>
          <w:sz w:val="24"/>
          <w:szCs w:val="24"/>
          <w:lang w:val="en-GB"/>
        </w:rPr>
        <w:t>(</w:t>
      </w:r>
      <w:hyperlink r:id="rId7" w:anchor="bb0450" w:history="1">
        <w:r w:rsidR="002E6C6B" w:rsidRPr="002E6C6B">
          <w:rPr>
            <w:rStyle w:val="Hyperlink"/>
            <w:lang w:val="en-GB"/>
          </w:rPr>
          <w:t>Impulsivity in schizophrenia: A comprehensive update - ScienceDirect</w:t>
        </w:r>
      </w:hyperlink>
      <w:r w:rsidR="00F60DD9">
        <w:rPr>
          <w:rFonts w:ascii="Abadi" w:hAnsi="Abadi"/>
          <w:color w:val="2E2E2E"/>
          <w:sz w:val="24"/>
          <w:szCs w:val="24"/>
          <w:lang w:val="en-GB"/>
        </w:rPr>
        <w:t>)</w:t>
      </w:r>
    </w:p>
    <w:p w14:paraId="483304AD" w14:textId="3BA84B08" w:rsidR="005048EC" w:rsidRPr="002C3126" w:rsidRDefault="005048EC" w:rsidP="003E1D9E">
      <w:pPr>
        <w:pStyle w:val="ListParagraph"/>
        <w:numPr>
          <w:ilvl w:val="0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2C3126">
        <w:rPr>
          <w:rFonts w:ascii="Abadi" w:hAnsi="Abadi"/>
          <w:color w:val="2E2E2E"/>
          <w:sz w:val="24"/>
          <w:szCs w:val="24"/>
          <w:lang w:val="en-GB"/>
        </w:rPr>
        <w:t>Go/no-go task: used to assess inhibitory control over a prepotent response -&gt; motor impulsivity.</w:t>
      </w:r>
      <w:r w:rsidR="002C3126" w:rsidRPr="002C3126"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r w:rsidRPr="002C3126">
        <w:rPr>
          <w:rFonts w:ascii="Abadi" w:hAnsi="Abadi"/>
          <w:color w:val="2E2E2E"/>
          <w:sz w:val="24"/>
          <w:szCs w:val="24"/>
          <w:lang w:val="en-GB"/>
        </w:rPr>
        <w:t>Two strategies:</w:t>
      </w:r>
    </w:p>
    <w:p w14:paraId="3F243652" w14:textId="2A9F618F" w:rsidR="005048EC" w:rsidRPr="005048EC" w:rsidRDefault="005048EC" w:rsidP="00EC7579">
      <w:pPr>
        <w:pStyle w:val="ListParagraph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counting wrong answers</w:t>
      </w:r>
    </w:p>
    <w:p w14:paraId="1B3035F9" w14:textId="32F9DFC6" w:rsidR="005048EC" w:rsidRPr="002C3126" w:rsidRDefault="005048EC" w:rsidP="002C3126">
      <w:pPr>
        <w:pStyle w:val="ListParagraph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Reaction time (RT) or the time it takes to make a response (response latency).</w:t>
      </w:r>
    </w:p>
    <w:p w14:paraId="0E6B8F67" w14:textId="184B7DC2" w:rsidR="00EC7579" w:rsidRPr="00EC7579" w:rsidRDefault="005048EC" w:rsidP="00EC7579">
      <w:pPr>
        <w:pStyle w:val="ListParagraph"/>
        <w:numPr>
          <w:ilvl w:val="0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>Continuous Performance Test. is frequently administered to patients with schizophrenia to measures the ability to suppress dominant, automatic, or prepotent respon</w:t>
      </w:r>
      <w:r w:rsidR="00EC7579" w:rsidRPr="00EC7579">
        <w:rPr>
          <w:rFonts w:ascii="Abadi" w:hAnsi="Abadi"/>
          <w:color w:val="2E2E2E"/>
          <w:sz w:val="24"/>
          <w:szCs w:val="24"/>
          <w:lang w:val="en-GB"/>
        </w:rPr>
        <w:t>ses.</w:t>
      </w:r>
      <w:r w:rsidR="009C0EF1">
        <w:rPr>
          <w:rFonts w:ascii="Abadi" w:hAnsi="Abadi"/>
          <w:color w:val="2E2E2E"/>
          <w:sz w:val="24"/>
          <w:szCs w:val="24"/>
          <w:lang w:val="en-GB"/>
        </w:rPr>
        <w:t xml:space="preserve"> -&gt; general sustained attention and general impulsive behaviour</w:t>
      </w:r>
    </w:p>
    <w:p w14:paraId="5F457E07" w14:textId="6CD37339" w:rsidR="002F07B5" w:rsidRDefault="00EC7579" w:rsidP="002F07B5">
      <w:pPr>
        <w:pStyle w:val="ListParagraph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EC7579">
        <w:rPr>
          <w:rFonts w:ascii="Abadi" w:hAnsi="Abadi"/>
          <w:color w:val="2E2E2E"/>
          <w:sz w:val="24"/>
          <w:szCs w:val="24"/>
          <w:lang w:val="en-GB"/>
        </w:rPr>
        <w:t xml:space="preserve">Commission errors: This score indicates the number of times the client responded but no target was presented. A fast reaction time and high commission error rate points to difficulties with impulsivity. A slow reaction time with high commission and omission errors, indicates inattention in </w:t>
      </w:r>
      <w:r w:rsidRPr="00EC7579">
        <w:rPr>
          <w:rFonts w:ascii="Abadi" w:hAnsi="Abadi"/>
          <w:color w:val="2E2E2E"/>
          <w:sz w:val="24"/>
          <w:szCs w:val="24"/>
          <w:lang w:val="en-GB"/>
        </w:rPr>
        <w:lastRenderedPageBreak/>
        <w:t>general.</w:t>
      </w:r>
      <w:r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r w:rsidRPr="00EC7579">
        <w:rPr>
          <w:rFonts w:ascii="Abadi" w:hAnsi="Abadi"/>
          <w:color w:val="2E2E2E"/>
          <w:sz w:val="24"/>
          <w:szCs w:val="24"/>
          <w:lang w:val="en-GB"/>
        </w:rPr>
        <w:t>A client's scores are compared with the normative scores for the age, group and gender of the person being tested</w:t>
      </w:r>
      <w:r w:rsidRPr="00EC7579">
        <w:rPr>
          <w:rFonts w:ascii="Arial" w:hAnsi="Arial" w:cs="Arial"/>
          <w:color w:val="202122"/>
          <w:sz w:val="21"/>
          <w:szCs w:val="21"/>
          <w:lang w:val="en-GB"/>
        </w:rPr>
        <w:t>.</w:t>
      </w:r>
      <w:r w:rsidRPr="00EC7579">
        <w:rPr>
          <w:rFonts w:ascii="Abadi" w:hAnsi="Abadi"/>
          <w:color w:val="2E2E2E"/>
          <w:sz w:val="24"/>
          <w:szCs w:val="24"/>
          <w:lang w:val="en-GB"/>
        </w:rPr>
        <w:t xml:space="preserve"> </w:t>
      </w:r>
    </w:p>
    <w:p w14:paraId="470E9B78" w14:textId="4267F5E4" w:rsidR="009C0EF1" w:rsidRPr="002F07B5" w:rsidRDefault="009C0EF1" w:rsidP="002F07B5">
      <w:pPr>
        <w:ind w:left="108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5103B9" wp14:editId="1D13675B">
            <wp:extent cx="5610225" cy="2031509"/>
            <wp:effectExtent l="0" t="0" r="0" b="698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09" cy="20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BDA5" w14:textId="4DDDBE57" w:rsidR="002F07B5" w:rsidRPr="001B4AA7" w:rsidRDefault="001B4AA7" w:rsidP="002F07B5">
      <w:pPr>
        <w:ind w:left="1080"/>
        <w:rPr>
          <w:rFonts w:ascii="Abadi" w:hAnsi="Abadi"/>
          <w:color w:val="2E2E2E"/>
          <w:sz w:val="24"/>
          <w:szCs w:val="24"/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t>(</w:t>
      </w:r>
      <w:proofErr w:type="gramStart"/>
      <w:r w:rsidR="002C3126">
        <w:rPr>
          <w:rFonts w:ascii="Abadi" w:hAnsi="Abadi"/>
          <w:color w:val="2E2E2E"/>
          <w:sz w:val="24"/>
          <w:szCs w:val="24"/>
          <w:lang w:val="en-GB"/>
        </w:rPr>
        <w:t>from</w:t>
      </w:r>
      <w:proofErr w:type="gramEnd"/>
      <w:r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hyperlink r:id="rId9" w:history="1">
        <w:r w:rsidRPr="001B4AA7">
          <w:rPr>
            <w:rStyle w:val="Hyperlink"/>
            <w:lang w:val="en-GB"/>
          </w:rPr>
          <w:t>Conners Continuous Performance Test 3rd Edition (Conners CPT 3) | Pearson Clinical Australia &amp; New Zealand</w:t>
        </w:r>
      </w:hyperlink>
      <w:r w:rsidRPr="001B4AA7">
        <w:rPr>
          <w:lang w:val="en-GB"/>
        </w:rPr>
        <w:t>)</w:t>
      </w:r>
    </w:p>
    <w:p w14:paraId="1CAB51FA" w14:textId="77777777" w:rsidR="009D4585" w:rsidRDefault="009D4585" w:rsidP="009D4585">
      <w:pPr>
        <w:pStyle w:val="ListParagraph"/>
        <w:ind w:left="1636"/>
        <w:rPr>
          <w:rFonts w:ascii="Abadi" w:hAnsi="Abadi"/>
          <w:color w:val="2E2E2E"/>
          <w:sz w:val="24"/>
          <w:szCs w:val="24"/>
          <w:lang w:val="en-GB"/>
        </w:rPr>
      </w:pPr>
    </w:p>
    <w:p w14:paraId="169EA548" w14:textId="26AA0663" w:rsidR="00CE76C9" w:rsidRDefault="009D4585" w:rsidP="00CE76C9">
      <w:pPr>
        <w:pStyle w:val="ListParagraph"/>
        <w:numPr>
          <w:ilvl w:val="0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>
        <w:rPr>
          <w:rFonts w:ascii="Abadi" w:hAnsi="Abadi"/>
          <w:color w:val="2E2E2E"/>
          <w:sz w:val="24"/>
          <w:szCs w:val="24"/>
          <w:lang w:val="en-GB"/>
        </w:rPr>
        <w:t xml:space="preserve">Stroop </w:t>
      </w:r>
      <w:proofErr w:type="spellStart"/>
      <w:r w:rsidRPr="009D4585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Pr="009D4585">
        <w:rPr>
          <w:rFonts w:ascii="Abadi" w:hAnsi="Abadi"/>
          <w:color w:val="2E2E2E"/>
          <w:sz w:val="24"/>
          <w:szCs w:val="24"/>
          <w:lang w:val="en-GB"/>
        </w:rPr>
        <w:t>–Word Test:</w:t>
      </w:r>
      <w:r>
        <w:rPr>
          <w:rFonts w:ascii="Abadi" w:hAnsi="Abadi"/>
          <w:color w:val="2E2E2E"/>
          <w:sz w:val="24"/>
          <w:szCs w:val="24"/>
          <w:lang w:val="en-GB"/>
        </w:rPr>
        <w:t xml:space="preserve"> </w:t>
      </w:r>
      <w:r w:rsidR="00CE76C9">
        <w:rPr>
          <w:rFonts w:ascii="Abadi" w:hAnsi="Abadi"/>
          <w:color w:val="2E2E2E"/>
          <w:sz w:val="24"/>
          <w:szCs w:val="24"/>
          <w:lang w:val="en-GB"/>
        </w:rPr>
        <w:t>s</w:t>
      </w:r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ubjects are required to read three different tables as fast as possible. Two of them represent the “congruous condition” in which participants are required to read names of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colors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 (henceforth referred to as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-words) printed in black ink (W) and name different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 patches (C). Conversely, in the third table, named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-word (CW) condition,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-words are printed in an inconsistent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 ink (for instance the word “red” is printed in green ink). Thus, in this incongruent condition, participants are required to name the </w:t>
      </w:r>
      <w:proofErr w:type="spellStart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>color</w:t>
      </w:r>
      <w:proofErr w:type="spellEnd"/>
      <w:r w:rsidR="00CE76C9" w:rsidRPr="00CE76C9">
        <w:rPr>
          <w:rFonts w:ascii="Abadi" w:hAnsi="Abadi"/>
          <w:color w:val="2E2E2E"/>
          <w:sz w:val="24"/>
          <w:szCs w:val="24"/>
          <w:lang w:val="en-GB"/>
        </w:rPr>
        <w:t xml:space="preserve"> of the ink instead of reading the word.</w:t>
      </w:r>
    </w:p>
    <w:p w14:paraId="63C3CFDE" w14:textId="0BC22F0F" w:rsidR="00CE76C9" w:rsidRPr="002C3126" w:rsidRDefault="00CE76C9" w:rsidP="00CE76C9">
      <w:pPr>
        <w:pStyle w:val="ListParagraph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2C3126">
        <w:rPr>
          <w:rFonts w:ascii="Abadi" w:hAnsi="Abadi"/>
          <w:color w:val="2E2E2E"/>
          <w:sz w:val="24"/>
          <w:szCs w:val="24"/>
          <w:lang w:val="en-GB"/>
        </w:rPr>
        <w:t xml:space="preserve">both accuracy and speed must be computed for all test conditions: by counting the number of correct answers in each condition in within a fixed time. </w:t>
      </w:r>
    </w:p>
    <w:p w14:paraId="4A722D8B" w14:textId="2108DF8B" w:rsidR="00AE6C9D" w:rsidRPr="002C3126" w:rsidRDefault="00CE76C9" w:rsidP="002C3126">
      <w:pPr>
        <w:pStyle w:val="ListParagraph"/>
        <w:numPr>
          <w:ilvl w:val="1"/>
          <w:numId w:val="7"/>
        </w:numPr>
        <w:rPr>
          <w:rFonts w:ascii="Abadi" w:hAnsi="Abadi"/>
          <w:color w:val="2E2E2E"/>
          <w:sz w:val="24"/>
          <w:szCs w:val="24"/>
          <w:lang w:val="en-GB"/>
        </w:rPr>
      </w:pPr>
      <w:r w:rsidRPr="00CE76C9">
        <w:rPr>
          <w:rFonts w:ascii="Abadi" w:hAnsi="Abadi"/>
          <w:color w:val="2E2E2E"/>
          <w:sz w:val="24"/>
          <w:szCs w:val="24"/>
          <w:lang w:val="en-GB"/>
        </w:rPr>
        <w:t xml:space="preserve">A global index must be calculated to relate the performance in the incongruous condition to congruous one (to cancel out effects from reading/seeing abilities – </w:t>
      </w:r>
      <w:proofErr w:type="gramStart"/>
      <w:r w:rsidRPr="00CE76C9">
        <w:rPr>
          <w:rFonts w:ascii="Abadi" w:hAnsi="Abadi"/>
          <w:color w:val="2E2E2E"/>
          <w:sz w:val="24"/>
          <w:szCs w:val="24"/>
          <w:lang w:val="en-GB"/>
        </w:rPr>
        <w:t>i.e.</w:t>
      </w:r>
      <w:proofErr w:type="gramEnd"/>
      <w:r w:rsidRPr="00CE76C9">
        <w:rPr>
          <w:rFonts w:ascii="Abadi" w:hAnsi="Abadi"/>
          <w:color w:val="2E2E2E"/>
          <w:sz w:val="24"/>
          <w:szCs w:val="24"/>
          <w:lang w:val="en-GB"/>
        </w:rPr>
        <w:t xml:space="preserve"> baseline): achieved by subtracting the W score and C score from CW score -&gt; for us, comparing switch to non-switch</w:t>
      </w:r>
    </w:p>
    <w:sectPr w:rsidR="00AE6C9D" w:rsidRPr="002C31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D6C"/>
    <w:multiLevelType w:val="hybridMultilevel"/>
    <w:tmpl w:val="FF04D412"/>
    <w:lvl w:ilvl="0" w:tplc="1DD6F29C">
      <w:start w:val="2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754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DD6635"/>
    <w:multiLevelType w:val="hybridMultilevel"/>
    <w:tmpl w:val="3A0E9E5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B748E"/>
    <w:multiLevelType w:val="hybridMultilevel"/>
    <w:tmpl w:val="583C62D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82AD9"/>
    <w:multiLevelType w:val="hybridMultilevel"/>
    <w:tmpl w:val="F556757E"/>
    <w:lvl w:ilvl="0" w:tplc="2CF28682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55FB"/>
    <w:multiLevelType w:val="hybridMultilevel"/>
    <w:tmpl w:val="05C47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3284F"/>
    <w:multiLevelType w:val="multilevel"/>
    <w:tmpl w:val="3312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04542"/>
    <w:multiLevelType w:val="hybridMultilevel"/>
    <w:tmpl w:val="8DA0C1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5489">
    <w:abstractNumId w:val="7"/>
  </w:num>
  <w:num w:numId="2" w16cid:durableId="603345741">
    <w:abstractNumId w:val="3"/>
  </w:num>
  <w:num w:numId="3" w16cid:durableId="145752245">
    <w:abstractNumId w:val="5"/>
  </w:num>
  <w:num w:numId="4" w16cid:durableId="714886545">
    <w:abstractNumId w:val="1"/>
  </w:num>
  <w:num w:numId="5" w16cid:durableId="41177320">
    <w:abstractNumId w:val="2"/>
  </w:num>
  <w:num w:numId="6" w16cid:durableId="794786442">
    <w:abstractNumId w:val="0"/>
  </w:num>
  <w:num w:numId="7" w16cid:durableId="366031847">
    <w:abstractNumId w:val="4"/>
  </w:num>
  <w:num w:numId="8" w16cid:durableId="1832477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66"/>
    <w:rsid w:val="0012269A"/>
    <w:rsid w:val="001B4AA7"/>
    <w:rsid w:val="002C3126"/>
    <w:rsid w:val="002E6C6B"/>
    <w:rsid w:val="002F07B5"/>
    <w:rsid w:val="00453899"/>
    <w:rsid w:val="005048EC"/>
    <w:rsid w:val="0071502C"/>
    <w:rsid w:val="00830244"/>
    <w:rsid w:val="008436BB"/>
    <w:rsid w:val="00953C6E"/>
    <w:rsid w:val="009631E4"/>
    <w:rsid w:val="009C0EF1"/>
    <w:rsid w:val="009D4585"/>
    <w:rsid w:val="00A57D66"/>
    <w:rsid w:val="00AE6C9D"/>
    <w:rsid w:val="00BC057B"/>
    <w:rsid w:val="00BF36BF"/>
    <w:rsid w:val="00C63445"/>
    <w:rsid w:val="00CE3F23"/>
    <w:rsid w:val="00CE76C9"/>
    <w:rsid w:val="00EC7579"/>
    <w:rsid w:val="00F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2657"/>
  <w15:chartTrackingRefBased/>
  <w15:docId w15:val="{B002DAEA-5B3E-4A1A-AF56-6F03BF47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D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D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3591789120012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Matthew-Stanford-2/publication/223309927_Fifty_years_of_the_Barratt_Impulsiveness_Scale_An_update_and_review/links/5a4e357baca2729b7c8e5083/Fifty-years-of-the-Barratt-Impulsiveness-Scale-An-update-and-review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arsonclinical.com.au/products/view/54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Costanza Cantalini</dc:creator>
  <cp:keywords/>
  <dc:description/>
  <cp:lastModifiedBy>Lorenzo Ferrara</cp:lastModifiedBy>
  <cp:revision>4</cp:revision>
  <dcterms:created xsi:type="dcterms:W3CDTF">2022-03-29T12:55:00Z</dcterms:created>
  <dcterms:modified xsi:type="dcterms:W3CDTF">2023-02-08T21:39:00Z</dcterms:modified>
</cp:coreProperties>
</file>