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Interpretazione PC (20/05)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PRIMA PC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0" distT="0" distL="0" distR="0">
            <wp:extent cx="5800725" cy="5800725"/>
            <wp:effectExtent b="0" l="0" r="0" t="0"/>
            <wp:docPr id="15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5800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5238750" cy="1123950"/>
            <wp:effectExtent b="0" l="0" r="0" t="0"/>
            <wp:docPr descr="Immagine che contiene testo&#10;&#10;Descrizione generata automaticamente" id="18" name="image1.jpg"/>
            <a:graphic>
              <a:graphicData uri="http://schemas.openxmlformats.org/drawingml/2006/picture">
                <pic:pic>
                  <pic:nvPicPr>
                    <pic:cNvPr descr="Immagine che contiene testo&#10;&#10;Descrizione generata automaticamente"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123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Loadings di prima PC a cui sottraiamo la media delle attivazioni cerebrali per regione.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Evidenziamo loadings notevoli (+- 2*sigma).</w:t>
      </w:r>
    </w:p>
    <w:p w:rsidR="00000000" w:rsidDel="00000000" w:rsidP="00000000" w:rsidRDefault="00000000" w:rsidRPr="00000000" w14:paraId="00000006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Ruolo regioni: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La regione 48 regola l’interazione tra le varie aree del cervello.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La regione 29 si occupa del reindirizzamento dell’attenzione.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Le regioni 78-81 gestiscono i meccanismi di prestazione (reward system) e gestione dello stress cognitivo.</w:t>
      </w:r>
    </w:p>
    <w:p w:rsidR="00000000" w:rsidDel="00000000" w:rsidP="00000000" w:rsidRDefault="00000000" w:rsidRPr="00000000" w14:paraId="0000000A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Interpretazioni: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Interpretiamo la prima PC come la regolare attività cerebrale coinvolta nell’esperimento.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Notiamo infatti il coordinamento attraverso la regione 48 di due aree cerebrali in antagonismo: la regione 29 si occupa del compito specifico di effettuare switch, mentre le regioni 78-81 sono associate all’implementazione di meccanismi di ottimizzazione su un compito noto.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Questo antagonismo viene scatenato in quanto in un compito switch mediamente si sbaglia di più, e viene quindi meno il meccanismo di ricompensa, ma viene attivato il reindirizzamento dell’attenzione su una caratteristica del cue prima ignorata.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SECONDA PC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6120130" cy="6120130"/>
            <wp:effectExtent b="0" l="0" r="0" t="0"/>
            <wp:docPr id="16" name="image13.jpg"/>
            <a:graphic>
              <a:graphicData uri="http://schemas.openxmlformats.org/drawingml/2006/picture">
                <pic:pic>
                  <pic:nvPicPr>
                    <pic:cNvPr id="0" name="image1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1201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0" distT="0" distL="0" distR="0">
            <wp:extent cx="6120130" cy="3068955"/>
            <wp:effectExtent b="0" l="0" r="0" t="0"/>
            <wp:docPr id="20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689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0" distT="0" distL="0" distR="0">
            <wp:extent cx="6120130" cy="1402715"/>
            <wp:effectExtent b="0" l="0" r="0" t="0"/>
            <wp:docPr descr="Immagine che contiene testo&#10;&#10;Descrizione generata automaticamente" id="19" name="image12.jpg"/>
            <a:graphic>
              <a:graphicData uri="http://schemas.openxmlformats.org/drawingml/2006/picture">
                <pic:pic>
                  <pic:nvPicPr>
                    <pic:cNvPr descr="Immagine che contiene testo&#10;&#10;Descrizione generata automaticamente" id="0" name="image12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027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u w:val="single"/>
        </w:rPr>
      </w:pPr>
      <w:r w:rsidDel="00000000" w:rsidR="00000000" w:rsidRPr="00000000">
        <w:rPr>
          <w:u w:val="single"/>
        </w:rPr>
        <w:drawing>
          <wp:inline distB="0" distT="0" distL="0" distR="0">
            <wp:extent cx="3943350" cy="3943350"/>
            <wp:effectExtent b="0" l="0" r="0" t="0"/>
            <wp:docPr id="22" name="image15.jpg"/>
            <a:graphic>
              <a:graphicData uri="http://schemas.openxmlformats.org/drawingml/2006/picture">
                <pic:pic>
                  <pic:nvPicPr>
                    <pic:cNvPr id="0" name="image15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943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Ruolo regioni: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La superior frontal gyrus serve a gestire la convergenza di stimoli sensoriali (ricostruisce la realtà), non ci stupisce che compaia perché ricostruisce gli stimoli dell’esperimento per i controlli, e per le persone schizofreniche si occupa di altri compiti (allucinazioni).</w:t>
      </w:r>
    </w:p>
    <w:p w:rsidR="00000000" w:rsidDel="00000000" w:rsidP="00000000" w:rsidRDefault="00000000" w:rsidRPr="00000000" w14:paraId="00000016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Interpretazione: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Descrive le risposte emotive dei pazienti in relazione agli stimoli ricevuti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Punti rossi sono sani, i neri schz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Metodo più o meno come sopra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Non ci sembra di poter ancora discriminare tra sani e schz a seconda della seconda componente principale.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(aggiungiamo interpretazione più specifica in relazione all’lm sui tempi)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TERZA PC</w:t>
        <w:br w:type="textWrapping"/>
      </w:r>
      <w:r w:rsidDel="00000000" w:rsidR="00000000" w:rsidRPr="00000000">
        <w:rPr/>
        <w:drawing>
          <wp:inline distB="0" distT="0" distL="0" distR="0">
            <wp:extent cx="4552950" cy="4552950"/>
            <wp:effectExtent b="0" l="0" r="0" t="0"/>
            <wp:docPr id="21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4552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0" distT="0" distL="0" distR="0">
            <wp:extent cx="4100830" cy="4100830"/>
            <wp:effectExtent b="0" l="0" r="0" t="0"/>
            <wp:docPr id="23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0830" cy="41008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Interpretazione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Descrive meccanismi di ricompensa.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 particolare, la terza pc si sta concentrando sul rilascio di dopamina (regione 74- notare loading negativo) e lo mette in contrasto (evidenziandone il disallineamento) con le altre reti cerebrali deputate alla gestione dei meccanismi di ricompensa.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Riteniamo quindi che la visibile differenza negli scores tra sani e pazienti su questa componente stia evidenziando il disallineamento più marcato che si riscontra negli schizofrenici tra meccanismi di ricompensa generici e dopamina. Essendo gli scores per la popolazione schizofrenica più bassi, vediamo come venga evidenziato una sbilanciata attivazione delle zone produttrici di dopamina.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TEST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Gli scores non sono normali.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Abbiamo eseguito un test non parametrico sulla media, e l’unica direzione principale lungo cui le medie divergono è la terza (poca significatività).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CONCLUSIONI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Quello che risalta da questa analisi è il fatto che non sia un meccanismo in particolare a fare la distinzione tra persone sane e affette da schizofrenia, ma l’interazione di più meccanismi.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6119820" cy="2908300"/>
            <wp:effectExtent b="0" l="0" r="0" t="0"/>
            <wp:docPr id="17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Dopo una MANOVA degli scores sulle prime 3 PC contro la diagnosi infatti, abbiamo visto che il p-value rimane sufficientemente alto da essere ignorato, testimoniando quindi che sicuramente la media delle due distribuzioni (</w:t>
      </w:r>
      <w:r w:rsidDel="00000000" w:rsidR="00000000" w:rsidRPr="00000000">
        <w:rPr>
          <w:b w:val="1"/>
          <w:u w:val="single"/>
          <w:rtl w:val="0"/>
        </w:rPr>
        <w:t xml:space="preserve">scores_sani</w:t>
      </w:r>
      <w:r w:rsidDel="00000000" w:rsidR="00000000" w:rsidRPr="00000000">
        <w:rPr>
          <w:rtl w:val="0"/>
        </w:rPr>
        <w:t xml:space="preserve"> vs </w:t>
      </w:r>
      <w:r w:rsidDel="00000000" w:rsidR="00000000" w:rsidRPr="00000000">
        <w:rPr>
          <w:b w:val="1"/>
          <w:u w:val="single"/>
          <w:rtl w:val="0"/>
        </w:rPr>
        <w:t xml:space="preserve">scores_malati</w:t>
      </w:r>
      <w:r w:rsidDel="00000000" w:rsidR="00000000" w:rsidRPr="00000000">
        <w:rPr>
          <w:rtl w:val="0"/>
        </w:rPr>
        <w:t xml:space="preserve">) non sono significativamente lontane.</w:t>
        <w:br w:type="textWrapping"/>
        <w:t xml:space="preserve">Riscontriamo però che la popolazione sana risulta avere una varianza molto maggiore rispetto a quella schizofrenica, cosa che ci stupisce in quanto l’analisi delle covatriate esterne (performance nelle risposte) aveva suggerito che fosse la popolazione di controllo ad essere più omogenea.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6119820" cy="939800"/>
            <wp:effectExtent b="0" l="0" r="0" t="0"/>
            <wp:docPr id="25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93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In particolare, le nostre analisi sembrano supportare la teoria che una delle possibili cause della schizofrenia è l’eccessiva produzione di dopamina (vista l’interpretazione della terza pc).</w:t>
      </w:r>
    </w:p>
    <w:p w:rsidR="00000000" w:rsidDel="00000000" w:rsidP="00000000" w:rsidRDefault="00000000" w:rsidRPr="00000000" w14:paraId="0000003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Linear Models con PCA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Barratt vs PCA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114300" distT="114300" distL="114300" distR="114300">
            <wp:extent cx="4856798" cy="1699501"/>
            <wp:effectExtent b="0" l="0" r="0" t="0"/>
            <wp:docPr id="12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6798" cy="16995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Abbiamo visto un valore R^2 negativo e abbiamo deciso che forse era meglio lasciar stare.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Anzi no, c’abbiamo provato a ridurlo ma viene comunque uno schifo.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Reaction time e scores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/>
        <w:drawing>
          <wp:inline distB="114300" distT="114300" distL="114300" distR="114300">
            <wp:extent cx="6119820" cy="3276600"/>
            <wp:effectExtent b="0" l="0" r="0" t="0"/>
            <wp:docPr id="27" name="image17.jpg"/>
            <a:graphic>
              <a:graphicData uri="http://schemas.openxmlformats.org/drawingml/2006/picture">
                <pic:pic>
                  <pic:nvPicPr>
                    <pic:cNvPr id="0" name="image17.jp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/>
        <w:drawing>
          <wp:inline distB="114300" distT="114300" distL="114300" distR="114300">
            <wp:extent cx="6119820" cy="2476500"/>
            <wp:effectExtent b="0" l="0" r="0" t="0"/>
            <wp:docPr id="28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Questo è il modello lineare che cerca di spiegare il tempo di reazione medio di un individuo a partire dal suo score sulla seconda componente principale.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-&gt; diagnostica del modello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/>
        <w:drawing>
          <wp:inline distB="114300" distT="114300" distL="114300" distR="114300">
            <wp:extent cx="6119820" cy="1689100"/>
            <wp:effectExtent b="0" l="0" r="0" t="0"/>
            <wp:docPr id="24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168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/>
        <w:drawing>
          <wp:inline distB="114300" distT="114300" distL="114300" distR="114300">
            <wp:extent cx="6119820" cy="1854200"/>
            <wp:effectExtent b="0" l="0" r="0" t="0"/>
            <wp:docPr id="11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185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C’è evidentemente un fattore che cresce linearmente con rtime di cui non siamo a conoscenza.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Questi residui sono ottenuti dall’ rtime standardizzato contro trasformazione boxCox degli scores [abbiamo provato varie trasformazioni per ottenere la normalità ma non c’è uscito].</w:t>
        <w:br w:type="textWrapping"/>
        <w:t xml:space="preserve">Proponiamo di buttare il modello, c’abbiamo provato.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/>
        <w:drawing>
          <wp:inline distB="114300" distT="114300" distL="114300" distR="114300">
            <wp:extent cx="4725353" cy="2512813"/>
            <wp:effectExtent b="0" l="0" r="0" t="0"/>
            <wp:docPr id="14" name="image19.jpg"/>
            <a:graphic>
              <a:graphicData uri="http://schemas.openxmlformats.org/drawingml/2006/picture">
                <pic:pic>
                  <pic:nvPicPr>
                    <pic:cNvPr id="0" name="image19.jp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5353" cy="2512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AGGIUNGIAMO UNA COSA ANCORA! COLPO DI SCENA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Multidimentional scaling sulle attivazioni cerebrali medie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Immagine 1 schz immagine 2 sani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/>
        <w:drawing>
          <wp:inline distB="114300" distT="114300" distL="114300" distR="114300">
            <wp:extent cx="6119820" cy="3073400"/>
            <wp:effectExtent b="0" l="0" r="0" t="0"/>
            <wp:docPr id="26" name="image16.jpg"/>
            <a:graphic>
              <a:graphicData uri="http://schemas.openxmlformats.org/drawingml/2006/picture">
                <pic:pic>
                  <pic:nvPicPr>
                    <pic:cNvPr id="0" name="image16.jp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6119820" cy="3073400"/>
            <wp:effectExtent b="0" l="0" r="0" t="0"/>
            <wp:docPr id="13" name="image14.jpg"/>
            <a:graphic>
              <a:graphicData uri="http://schemas.openxmlformats.org/drawingml/2006/picture">
                <pic:pic>
                  <pic:nvPicPr>
                    <pic:cNvPr id="0" name="image14.jp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Vogliamo confermare l’interpretazione delle PC:</w:t>
        <w:br w:type="textWrapping"/>
        <w:br w:type="textWrapping"/>
        <w:t xml:space="preserve">Le regioni che vengono evidenziate nei loadings con lo stesso segno appartengono a network cooperativi (hanno una distanza di connettività bassa, ovvero sono correlate tra loro) mentre regioni che venivano evidenziate con segno opposto sono  appartenenti a network cerebrali in competizione ( infatti risultano distanti nella connettività)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Inoltre, ritroviamo ulteriore conferma della particolarità che le persone schizofreniche presentano una varianza minore (infatti le distanze in generale sono minori, questo andrebbe a rafforzare l’ipotesi di task interference)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? stiamo sbagliando per via del parametro di scala?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/>
        <w:drawing>
          <wp:inline distB="114300" distT="114300" distL="114300" distR="114300">
            <wp:extent cx="6119820" cy="6121400"/>
            <wp:effectExtent b="0" l="0" r="0" t="0"/>
            <wp:docPr id="10" name="image18.jpg"/>
            <a:graphic>
              <a:graphicData uri="http://schemas.openxmlformats.org/drawingml/2006/picture">
                <pic:pic>
                  <pic:nvPicPr>
                    <pic:cNvPr id="0" name="image18.jp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612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417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it-IT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e" w:default="1">
    <w:name w:val="Normal"/>
    <w:qFormat w:val="1"/>
  </w:style>
  <w:style w:type="character" w:styleId="Carpredefinitoparagrafo" w:default="1">
    <w:name w:val="Default Paragraph Font"/>
    <w:uiPriority w:val="1"/>
    <w:semiHidden w:val="1"/>
    <w:unhideWhenUsed w:val="1"/>
  </w:style>
  <w:style w:type="table" w:styleId="Tabellanorma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ssunelenco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.jpg"/><Relationship Id="rId22" Type="http://schemas.openxmlformats.org/officeDocument/2006/relationships/image" Target="media/image19.jpg"/><Relationship Id="rId21" Type="http://schemas.openxmlformats.org/officeDocument/2006/relationships/image" Target="media/image8.jpg"/><Relationship Id="rId24" Type="http://schemas.openxmlformats.org/officeDocument/2006/relationships/image" Target="media/image14.jpg"/><Relationship Id="rId23" Type="http://schemas.openxmlformats.org/officeDocument/2006/relationships/image" Target="media/image16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jpg"/><Relationship Id="rId25" Type="http://schemas.openxmlformats.org/officeDocument/2006/relationships/image" Target="media/image18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jpg"/><Relationship Id="rId8" Type="http://schemas.openxmlformats.org/officeDocument/2006/relationships/image" Target="media/image1.jpg"/><Relationship Id="rId11" Type="http://schemas.openxmlformats.org/officeDocument/2006/relationships/image" Target="media/image12.jpg"/><Relationship Id="rId10" Type="http://schemas.openxmlformats.org/officeDocument/2006/relationships/image" Target="media/image9.jpg"/><Relationship Id="rId13" Type="http://schemas.openxmlformats.org/officeDocument/2006/relationships/image" Target="media/image6.jpg"/><Relationship Id="rId12" Type="http://schemas.openxmlformats.org/officeDocument/2006/relationships/image" Target="media/image15.jpg"/><Relationship Id="rId15" Type="http://schemas.openxmlformats.org/officeDocument/2006/relationships/image" Target="media/image5.jpg"/><Relationship Id="rId14" Type="http://schemas.openxmlformats.org/officeDocument/2006/relationships/image" Target="media/image7.jpg"/><Relationship Id="rId17" Type="http://schemas.openxmlformats.org/officeDocument/2006/relationships/image" Target="media/image10.jpg"/><Relationship Id="rId16" Type="http://schemas.openxmlformats.org/officeDocument/2006/relationships/image" Target="media/image11.jpg"/><Relationship Id="rId19" Type="http://schemas.openxmlformats.org/officeDocument/2006/relationships/image" Target="media/image2.jpg"/><Relationship Id="rId18" Type="http://schemas.openxmlformats.org/officeDocument/2006/relationships/image" Target="media/image17.jp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FlLqxGcHeQn0Bufe/HuITKTayw==">AMUW2mXo4quIMQ6byMttnPW/j12HWUr4w+gwMIAMzls9N4vUgzWggvZIEoOIs8J0RtvIAOPCajE3SJ6Ajz7f0JVZYg8yeh/Xc3XMVnelNb+9ILXWNo24p/A=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2022-05-20T13:49:00Z</dcterms:created>
  <dc:creator>Costanza Cantalini</dc:creator>
</cp:coreProperties>
</file>