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8"/>
          <w:sz w:val="32"/>
          <w:szCs w:val="32"/>
        </w:rPr>
        <w:t xml:space="preserve">Registro de Prompts de IA — Dashboard Final</w:t>
      </w:r>
    </w:p>
    <w:p>
      <w:pPr>
        <w:spacing w:after="150"/>
      </w:pPr>
      <w:r>
        <w:rPr>
          <w:i/>
          <w:iCs/>
          <w:color w:val="666666"/>
          <w:sz w:val="20"/>
          <w:szCs w:val="20"/>
        </w:rPr>
        <w:t xml:space="preserve">Proyecto: Distribución y Consumo Masivo · Módulo 9 — Capa de visualización final</w:t>
      </w:r>
    </w:p>
    <w:p>
      <w:pPr>
        <w:spacing w:after="150"/>
      </w:pPr>
      <w:r>
        <w:rPr>
          <w:i/>
          <w:iCs/>
          <w:color w:val="666666"/>
          <w:sz w:val="20"/>
          <w:szCs w:val="20"/>
        </w:rPr>
        <w:t xml:space="preserve">Autor: Lorenzo M. Pérez</w:t>
      </w:r>
    </w:p>
    <w:p>
      <w:pPr>
        <w:pStyle w:val="Heading1"/>
        <w:spacing w:after="150" w:before="300"/>
      </w:pPr>
      <w:r>
        <w:rPr>
          <w:b/>
          <w:bCs/>
          <w:color w:val="1F4E78"/>
        </w:rPr>
        <w:t xml:space="preserve">1. Contexto del análisis</w:t>
      </w:r>
    </w:p>
    <w:p>
      <w:pPr>
        <w:spacing w:after="150"/>
      </w:pPr>
      <w:r>
        <w:t xml:space="preserve">Al armar el Dashboard Final, identifiqué dos hallazgos a partir de las tablas dinámicas (Pivot_Region, Pivot_Categoria, Pivot_Mes) que ya veníamos usando en el proyecto:</w:t>
      </w:r>
    </w:p>
    <w:p>
      <w:pPr>
        <w:pStyle w:val="ListParagraph"/>
        <w:numPr>
          <w:ilvl w:val="0"/>
          <w:numId w:val="1"/>
        </w:numPr>
        <w:spacing w:after="80"/>
      </w:pPr>
      <w:r>
        <w:t xml:space="preserve">Las ventas totales de 2026 crecieron un 6,2% en el segundo semestre respecto al primero.</w:t>
      </w:r>
    </w:p>
    <w:p>
      <w:pPr>
        <w:pStyle w:val="ListParagraph"/>
        <w:numPr>
          <w:ilvl w:val="0"/>
          <w:numId w:val="1"/>
        </w:numPr>
        <w:spacing w:after="80"/>
      </w:pPr>
      <w:r>
        <w:t xml:space="preserve">La región Zona_Sur concentra el 39,3% de la facturación total, casi el doble que cualquier otra región individual.</w:t>
      </w:r>
    </w:p>
    <w:p>
      <w:pPr>
        <w:spacing w:after="150"/>
      </w:pPr>
      <w:r>
        <w:t xml:space="preserve">Antes de presentar estas dos conclusiones como definitivas en el dashboard, apliqué el flujo de 'auditor cognitivo' que plantea la consigna: le pedí a ChatGPT que hiciera de abogado del diablo sobre mis propias conclusiones, buscando sesgos o variables que no había considerado.</w:t>
      </w:r>
    </w:p>
    <w:p>
      <w:pPr>
        <w:pStyle w:val="Heading1"/>
        <w:spacing w:after="150" w:before="300"/>
      </w:pPr>
      <w:r>
        <w:rPr>
          <w:b/>
          <w:bCs/>
          <w:color w:val="1F4E78"/>
        </w:rPr>
        <w:t xml:space="preserve">2. Prompt utilizado</w:t>
      </w:r>
    </w:p>
    <w:p>
      <w:pPr>
        <w:shd w:fill="F2F2F2" w:val="clear"/>
        <w:spacing w:after="150"/>
      </w:pPr>
      <w:r>
        <w:rPr>
          <w:i/>
          <w:iCs/>
        </w:rPr>
        <w:t xml:space="preserve">"Tengo un dashboard de ventas de una empresa de distribución. Encontré dos patrones en los datos: (1) las ventas crecieron 6,2% en el segundo semestre de 2026 respecto al primero, y (2) una sola región (Zona_Sur) concentra el 39,3% de la facturación total del año, muy por encima de las otras tres regiones (entre 20% y 20,5% cada una). Mi conclusión inicial es que el negocio tiene una tendencia de crecimiento sostenida pero también un riesgo de concentración geográfica. Actuá como abogado del diablo: ¿qué sesgos, variables omitidas o explicaciones alternativas podrían debilitar estas dos conclusiones? No me des la respuesta que quiero escuchar, buscá activamente por qué podría estar equivocado."</w:t>
      </w:r>
    </w:p>
    <w:p>
      <w:pPr>
        <w:pStyle w:val="Heading1"/>
        <w:spacing w:after="150" w:before="300"/>
      </w:pPr>
      <w:r>
        <w:rPr>
          <w:b/>
          <w:bCs/>
          <w:color w:val="1F4E78"/>
        </w:rPr>
        <w:t xml:space="preserve">3. Respuesta de ChatGPT (resumen)</w:t>
      </w:r>
    </w:p>
    <w:p>
      <w:pPr>
        <w:spacing w:after="150"/>
      </w:pPr>
      <w:r>
        <w:t xml:space="preserve">La IA señaló dos objeciones concretas que no había considerado:</w:t>
      </w:r>
    </w:p>
    <w:p>
      <w:pPr>
        <w:pStyle w:val="ListParagraph"/>
        <w:numPr>
          <w:ilvl w:val="0"/>
          <w:numId w:val="1"/>
        </w:numPr>
        <w:spacing w:after="80"/>
      </w:pPr>
      <w:r>
        <w:t xml:space="preserve">Estacionalidad, no tendencia: un crecimiento H2 vs H1 en un negocio de consumo masivo puede explicarse simplemente por estacionalidad de fin de año (fiestas, aguinaldo, mayor consumo), no por una mejora estructural del negocio. Sugirió comparar el mismo semestre contra el año anterior (interanual) antes de hablar de 'tendencia sostenida' — algo que en este proyecto no pude hacer porque solo tengo datos de 2026, así que lo dejé como una limitación explícita en vez de una afirmación fuerte.</w:t>
      </w:r>
    </w:p>
    <w:p>
      <w:pPr>
        <w:pStyle w:val="ListParagraph"/>
        <w:numPr>
          <w:ilvl w:val="0"/>
          <w:numId w:val="1"/>
        </w:numPr>
        <w:spacing w:after="80"/>
      </w:pPr>
      <w:r>
        <w:t xml:space="preserve">Concentración no es lo mismo que riesgo: que Zona_Sur concentre el 39% de la facturación podría reflejar que ahí la empresa tiene mejor infraestructura logística o mayor densidad de clientes reales, no necesariamente una dependencia frágil. Diversificar a la fuerza podría bajar la rentabilidad total en vez de reducir un riesgo real. Sugirió acompañar el dato de concentración con un indicador de rentabilidad por región antes de recomendar diversificar.</w:t>
      </w:r>
    </w:p>
    <w:p>
      <w:pPr>
        <w:pStyle w:val="Heading1"/>
        <w:spacing w:after="150" w:before="300"/>
      </w:pPr>
      <w:r>
        <w:rPr>
          <w:b/>
          <w:bCs/>
          <w:color w:val="1F4E78"/>
        </w:rPr>
        <w:t xml:space="preserve">4. Cómo se refinó el dashboard con este feedback</w:t>
      </w:r>
    </w:p>
    <w:p>
      <w:pPr>
        <w:pStyle w:val="ListParagraph"/>
        <w:numPr>
          <w:ilvl w:val="0"/>
          <w:numId w:val="1"/>
        </w:numPr>
        <w:spacing w:after="80"/>
      </w:pPr>
      <w:r>
        <w:t xml:space="preserve">La tarjeta de 'Crecimiento H2 vs H1' quedó etiquetada explícitamente por semestre (no como 'crecimiento anual' ni 'tendencia'), para no sobre-afirmar algo que un solo año de datos no permite probar.</w:t>
      </w:r>
    </w:p>
    <w:p>
      <w:pPr>
        <w:pStyle w:val="ListParagraph"/>
        <w:numPr>
          <w:ilvl w:val="0"/>
          <w:numId w:val="1"/>
        </w:numPr>
        <w:spacing w:after="80"/>
      </w:pPr>
      <w:r>
        <w:t xml:space="preserve">La conclusión escrita en el dashboard sobre Zona_Sur se matizó: se presenta como 'fortaleza comercial y punto de fragilidad' simultáneamente, no solo como un riesgo a corregir.</w:t>
      </w:r>
    </w:p>
    <w:p>
      <w:pPr>
        <w:pStyle w:val="ListParagraph"/>
        <w:numPr>
          <w:ilvl w:val="0"/>
          <w:numId w:val="1"/>
        </w:numPr>
        <w:spacing w:after="80"/>
      </w:pPr>
      <w:r>
        <w:t xml:space="preserve">Se agregó la 'Nota de Análisis' visible en el propio dashboard (no solo en este documento) resumiendo ambas objeciones, para que cualquier lector del reporte vea el matiz sin tener que leer este anexo.</w:t>
      </w:r>
    </w:p>
    <w:p>
      <w:pPr>
        <w:pStyle w:val="Heading1"/>
        <w:spacing w:after="150" w:before="300"/>
      </w:pPr>
      <w:r>
        <w:rPr>
          <w:b/>
          <w:bCs/>
          <w:color w:val="1F4E78"/>
        </w:rPr>
        <w:t xml:space="preserve">5. Conclusiones finales (post-revisión)</w:t>
      </w:r>
    </w:p>
    <w:p>
      <w:pPr>
        <w:pStyle w:val="ListParagraph"/>
        <w:numPr>
          <w:ilvl w:val="0"/>
          <w:numId w:val="1"/>
        </w:numPr>
        <w:spacing w:after="80"/>
      </w:pPr>
      <w:r>
        <w:t xml:space="preserve">El crecimiento de 6,2% entre semestres es real y consistente mes a mes, pero no puede llamarse 'tendencia estructural' sin datos de 2025 para comparar de forma interanual — queda como hipótesis a confirmar en el próximo ciclo de datos.</w:t>
      </w:r>
    </w:p>
    <w:p>
      <w:pPr>
        <w:pStyle w:val="ListParagraph"/>
        <w:numPr>
          <w:ilvl w:val="0"/>
          <w:numId w:val="1"/>
        </w:numPr>
        <w:spacing w:after="80"/>
      </w:pPr>
      <w:r>
        <w:t xml:space="preserve">La concentración en Zona_Sur (39,3%) es la fortaleza comercial más grande del negocio hoy, y al mismo tiempo su mayor punto de fragilidad ante cualquier problema logístico o de demanda específico de esa región.</w:t>
      </w:r>
    </w:p>
    <w:p>
      <w:pPr>
        <w:pStyle w:val="ListParagraph"/>
        <w:numPr>
          <w:ilvl w:val="0"/>
          <w:numId w:val="1"/>
        </w:numPr>
        <w:spacing w:after="80"/>
      </w:pPr>
      <w:r>
        <w:t xml:space="preserve">Las 4 categorías de producto están parejas entre sí (~25% cada una): el riesgo de concentración de este negocio está en la geografía, no en el mix de productos.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2026-09-08T02:05:34.389Z</dcterms:created>
  <dcterms:modified xsi:type="dcterms:W3CDTF">2026-09-08T02:05:34.399Z</dcterms:modified>
</cp:coreProperties>
</file>

<file path=docProps/custom.xml><?xml version="1.0" encoding="utf-8"?>
<Properties xmlns="http://schemas.openxmlformats.org/officeDocument/2006/custom-properties" xmlns:vt="http://schemas.openxmlformats.org/officeDocument/2006/docPropsVTypes"/>
</file>