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617E" w14:textId="77777777" w:rsidR="009E14B0" w:rsidRPr="009E14B0" w:rsidRDefault="00000000" w:rsidP="009E14B0">
      <w:pPr>
        <w:pStyle w:val="Title"/>
        <w:spacing w:after="0"/>
        <w:jc w:val="center"/>
        <w:rPr>
          <w:b/>
          <w:bCs/>
          <w:sz w:val="40"/>
          <w:szCs w:val="40"/>
        </w:rPr>
      </w:pPr>
      <w:r w:rsidRPr="009E14B0">
        <w:rPr>
          <w:b/>
          <w:bCs/>
          <w:sz w:val="40"/>
          <w:szCs w:val="40"/>
        </w:rPr>
        <w:t xml:space="preserve">US Macro Empirical Framework – </w:t>
      </w:r>
      <w:r w:rsidR="00667530" w:rsidRPr="009E14B0">
        <w:rPr>
          <w:b/>
          <w:bCs/>
          <w:sz w:val="40"/>
          <w:szCs w:val="40"/>
        </w:rPr>
        <w:t>Monetary Policy and Business Cycle Dynamics</w:t>
      </w:r>
    </w:p>
    <w:p w14:paraId="78359140" w14:textId="58215366" w:rsidR="00B40333" w:rsidRPr="009E14B0" w:rsidRDefault="00B40333" w:rsidP="009E14B0">
      <w:pPr>
        <w:pStyle w:val="Subtitle"/>
        <w:jc w:val="center"/>
        <w:rPr>
          <w:b/>
          <w:bCs/>
        </w:rPr>
      </w:pPr>
      <w:r w:rsidRPr="009E14B0">
        <w:t xml:space="preserve">Project framework, </w:t>
      </w:r>
      <w:r w:rsidR="003D671D">
        <w:t>variable</w:t>
      </w:r>
      <w:r w:rsidR="007B64F2">
        <w:t xml:space="preserve"> definitions,</w:t>
      </w:r>
      <w:r w:rsidRPr="009E14B0">
        <w:t xml:space="preserve"> model specifications,</w:t>
      </w:r>
      <w:r w:rsidR="009E14B0">
        <w:t xml:space="preserve"> </w:t>
      </w:r>
      <w:r w:rsidR="003D671D">
        <w:t xml:space="preserve">Python </w:t>
      </w:r>
      <w:r w:rsidR="007B64F2">
        <w:t>implementation</w:t>
      </w:r>
    </w:p>
    <w:p w14:paraId="552A4C45" w14:textId="6542EE8D" w:rsidR="007A073C" w:rsidRPr="00B40333" w:rsidRDefault="00000000" w:rsidP="001F6791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1. Methodology Overview</w:t>
      </w:r>
    </w:p>
    <w:p w14:paraId="630E94D8" w14:textId="3B713612" w:rsidR="002D6442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This project builds a quarterly macroeconomic empirical framework using FRED data. It integrates Taylor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Rule, Phillips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Curve, Okun’s Law, Beveridge</w:t>
      </w:r>
      <w:r w:rsidR="001F6791" w:rsidRPr="00E43396">
        <w:rPr>
          <w:rFonts w:ascii="Calibri" w:hAnsi="Calibri" w:cs="Calibri"/>
          <w:sz w:val="21"/>
          <w:szCs w:val="21"/>
        </w:rPr>
        <w:t>'s</w:t>
      </w:r>
      <w:r w:rsidRPr="00E43396">
        <w:rPr>
          <w:rFonts w:ascii="Calibri" w:hAnsi="Calibri" w:cs="Calibri"/>
          <w:sz w:val="21"/>
          <w:szCs w:val="21"/>
        </w:rPr>
        <w:t xml:space="preserve"> Curve and Sahm</w:t>
      </w:r>
      <w:r w:rsidR="001F6791" w:rsidRPr="00E43396">
        <w:rPr>
          <w:rFonts w:ascii="Calibri" w:hAnsi="Calibri" w:cs="Calibri"/>
          <w:sz w:val="21"/>
          <w:szCs w:val="21"/>
        </w:rPr>
        <w:t>’s</w:t>
      </w:r>
      <w:r w:rsidRPr="00E43396">
        <w:rPr>
          <w:rFonts w:ascii="Calibri" w:hAnsi="Calibri" w:cs="Calibri"/>
          <w:sz w:val="21"/>
          <w:szCs w:val="21"/>
        </w:rPr>
        <w:t xml:space="preserve"> Rule. The pipeline moves from Excel-based data engineering to Python-based estimation.</w:t>
      </w:r>
    </w:p>
    <w:p w14:paraId="6A4C12CC" w14:textId="77777777" w:rsidR="001F6791" w:rsidRPr="00B40333" w:rsidRDefault="001F6791" w:rsidP="001F6791">
      <w:pPr>
        <w:spacing w:after="0"/>
        <w:rPr>
          <w:rFonts w:ascii="Calibri" w:hAnsi="Calibri" w:cs="Calibri"/>
        </w:rPr>
      </w:pPr>
    </w:p>
    <w:p w14:paraId="5A29A53E" w14:textId="562B59B5" w:rsidR="0082665F" w:rsidRPr="00B40333" w:rsidRDefault="00000000" w:rsidP="001F6791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 xml:space="preserve">2. </w:t>
      </w:r>
      <w:r w:rsidR="001F6791" w:rsidRPr="00B40333">
        <w:rPr>
          <w:rFonts w:ascii="Calibri" w:hAnsi="Calibri" w:cs="Calibri"/>
        </w:rPr>
        <w:t>Variables</w:t>
      </w:r>
      <w:r w:rsidR="002D6442" w:rsidRPr="00B40333">
        <w:rPr>
          <w:rFonts w:ascii="Calibri" w:hAnsi="Calibri" w:cs="Calibri"/>
        </w:rPr>
        <w:t xml:space="preserve"> (Quarterly</w:t>
      </w:r>
      <w:r w:rsidR="0082665F" w:rsidRPr="00B40333">
        <w:rPr>
          <w:rFonts w:ascii="Calibri" w:hAnsi="Calibri" w:cs="Calibri"/>
        </w:rPr>
        <w:t>)</w:t>
      </w:r>
    </w:p>
    <w:p w14:paraId="698C9671" w14:textId="635FBBA8" w:rsidR="0082665F" w:rsidRPr="00E43396" w:rsidRDefault="0082665F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Retrieved:</w:t>
      </w:r>
    </w:p>
    <w:p w14:paraId="5717673E" w14:textId="152E259F" w:rsidR="005000EF" w:rsidRPr="00E43396" w:rsidRDefault="000712C9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sz w:val="21"/>
          <w:szCs w:val="21"/>
        </w:rPr>
        <w:t>GDP</w:t>
      </w:r>
      <w:r w:rsidRPr="00E43396">
        <w:rPr>
          <w:rFonts w:ascii="Calibri" w:hAnsi="Calibri" w:cs="Calibri"/>
          <w:sz w:val="21"/>
          <w:szCs w:val="21"/>
        </w:rPr>
        <w:t xml:space="preserve"> (GDPC1) (SAAR)</w:t>
      </w:r>
    </w:p>
    <w:p w14:paraId="4116B7D6" w14:textId="00359C21" w:rsidR="005000EF" w:rsidRPr="00E43396" w:rsidRDefault="000712C9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Real </w:t>
      </w:r>
      <w:r w:rsidR="005000EF" w:rsidRPr="00E43396">
        <w:rPr>
          <w:rFonts w:ascii="Calibri" w:hAnsi="Calibri" w:cs="Calibri"/>
          <w:color w:val="000000" w:themeColor="text1"/>
          <w:sz w:val="21"/>
          <w:szCs w:val="21"/>
        </w:rPr>
        <w:t>Potential GDP</w:t>
      </w:r>
      <w:r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(GDPPOT)</w:t>
      </w:r>
      <w:r w:rsidR="00841D2F" w:rsidRPr="00E43396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60097778" w14:textId="6B226351" w:rsidR="0082665F" w:rsidRPr="00E43396" w:rsidRDefault="000712C9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Real </w:t>
      </w:r>
      <w:r w:rsidR="0082665F" w:rsidRPr="00E43396">
        <w:rPr>
          <w:rFonts w:ascii="Calibri" w:hAnsi="Calibri" w:cs="Calibri"/>
          <w:sz w:val="21"/>
          <w:szCs w:val="21"/>
        </w:rPr>
        <w:t xml:space="preserve">GDP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="0082665F" w:rsidRPr="00E43396">
        <w:rPr>
          <w:rFonts w:ascii="Calibri" w:hAnsi="Calibri" w:cs="Calibri"/>
          <w:sz w:val="21"/>
          <w:szCs w:val="21"/>
        </w:rPr>
        <w:t>rowth</w:t>
      </w:r>
      <w:r w:rsidR="005000EF" w:rsidRPr="00E43396">
        <w:rPr>
          <w:rFonts w:ascii="Calibri" w:hAnsi="Calibri" w:cs="Calibri"/>
          <w:sz w:val="21"/>
          <w:szCs w:val="21"/>
        </w:rPr>
        <w:t xml:space="preserve"> </w:t>
      </w:r>
      <w:r w:rsidR="0082665F" w:rsidRPr="00E43396">
        <w:rPr>
          <w:rFonts w:ascii="Calibri" w:hAnsi="Calibri" w:cs="Calibri"/>
          <w:sz w:val="21"/>
          <w:szCs w:val="21"/>
        </w:rPr>
        <w:t>(A191RL1Q225SBEA) (SAAR)</w:t>
      </w:r>
    </w:p>
    <w:p w14:paraId="6B8D1071" w14:textId="77777777" w:rsidR="001F6791" w:rsidRPr="00E43396" w:rsidRDefault="0082665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Headline PCE Inflation (DPCERV1Q225SBEA): includes food and energy, more volatile (SAAR)</w:t>
      </w:r>
    </w:p>
    <w:p w14:paraId="59DDF7EC" w14:textId="77777777" w:rsidR="001F6791" w:rsidRPr="00E43396" w:rsidRDefault="0082665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Core PCE Inflation (DPCCRV1Q225SBEA): excludes food and energy, less volatile and preferred for policy analysis (SAAR)</w:t>
      </w:r>
    </w:p>
    <w:p w14:paraId="47D7BB50" w14:textId="425DA608" w:rsidR="005000EF" w:rsidRPr="00E43396" w:rsidRDefault="005000E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Unemployment Rate (UNRATE)</w:t>
      </w:r>
    </w:p>
    <w:p w14:paraId="57A327D8" w14:textId="1AB0C73D" w:rsidR="005000EF" w:rsidRPr="00E43396" w:rsidRDefault="005000E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Noncyclical Rate of Unemployment (NROU)</w:t>
      </w:r>
    </w:p>
    <w:p w14:paraId="61EAC10E" w14:textId="41661CE4" w:rsidR="001F6791" w:rsidRPr="00E43396" w:rsidRDefault="0082665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Forward Inflation Expectations</w:t>
      </w:r>
      <w:r w:rsidR="005000EF" w:rsidRPr="00E43396">
        <w:rPr>
          <w:rFonts w:ascii="Calibri" w:hAnsi="Calibri" w:cs="Calibri"/>
          <w:sz w:val="21"/>
          <w:szCs w:val="21"/>
        </w:rPr>
        <w:t xml:space="preserve"> (</w:t>
      </w:r>
      <w:r w:rsidRPr="00E43396">
        <w:rPr>
          <w:rFonts w:ascii="Calibri" w:hAnsi="Calibri" w:cs="Calibri"/>
          <w:sz w:val="21"/>
          <w:szCs w:val="21"/>
        </w:rPr>
        <w:t>T5YIFR</w:t>
      </w:r>
      <w:r w:rsidR="005000EF" w:rsidRPr="00E43396">
        <w:rPr>
          <w:rFonts w:ascii="Calibri" w:hAnsi="Calibri" w:cs="Calibri"/>
          <w:sz w:val="21"/>
          <w:szCs w:val="21"/>
        </w:rPr>
        <w:t>) (SAAR)</w:t>
      </w:r>
    </w:p>
    <w:p w14:paraId="1796BDB7" w14:textId="2FFEDFD0" w:rsidR="0082665F" w:rsidRPr="00E43396" w:rsidRDefault="0082665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Job Openings Rate (JTSJOR)</w:t>
      </w:r>
      <w:r w:rsidR="005000EF" w:rsidRPr="00E43396">
        <w:rPr>
          <w:rFonts w:ascii="Calibri" w:hAnsi="Calibri" w:cs="Calibri"/>
          <w:sz w:val="21"/>
          <w:szCs w:val="21"/>
        </w:rPr>
        <w:t>: vacancy proxy</w:t>
      </w:r>
    </w:p>
    <w:p w14:paraId="11CF9391" w14:textId="3D687F6B" w:rsidR="0082665F" w:rsidRPr="00E43396" w:rsidRDefault="0082665F" w:rsidP="001F679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Funds Rate (FEDFUNDS)</w:t>
      </w:r>
    </w:p>
    <w:p w14:paraId="5E11D0FE" w14:textId="77777777" w:rsidR="005000EF" w:rsidRPr="00E43396" w:rsidRDefault="005000EF" w:rsidP="005000EF">
      <w:pPr>
        <w:pStyle w:val="ListParagraph"/>
        <w:spacing w:after="0"/>
        <w:rPr>
          <w:rFonts w:ascii="Calibri" w:hAnsi="Calibri" w:cs="Calibri"/>
          <w:sz w:val="21"/>
          <w:szCs w:val="21"/>
        </w:rPr>
      </w:pPr>
    </w:p>
    <w:p w14:paraId="62DD1D56" w14:textId="41B06930" w:rsidR="0082665F" w:rsidRPr="00E43396" w:rsidRDefault="0082665F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Calculated: </w:t>
      </w:r>
    </w:p>
    <w:p w14:paraId="649AF514" w14:textId="3C6E2906" w:rsidR="001F6791" w:rsidRPr="00E43396" w:rsidRDefault="00000000" w:rsidP="001F679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Output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>ap: (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GDP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 xml:space="preserve">Potential GDP) / Potential </w:t>
      </w:r>
      <w:r w:rsidR="000712C9" w:rsidRPr="00E43396">
        <w:rPr>
          <w:rFonts w:ascii="Calibri" w:hAnsi="Calibri" w:cs="Calibri"/>
          <w:sz w:val="21"/>
          <w:szCs w:val="21"/>
        </w:rPr>
        <w:t xml:space="preserve">Real </w:t>
      </w:r>
      <w:r w:rsidRPr="00E43396">
        <w:rPr>
          <w:rFonts w:ascii="Calibri" w:hAnsi="Calibri" w:cs="Calibri"/>
          <w:sz w:val="21"/>
          <w:szCs w:val="21"/>
        </w:rPr>
        <w:t>GDP * 100</w:t>
      </w:r>
    </w:p>
    <w:p w14:paraId="47927C4F" w14:textId="4DBE672F" w:rsidR="00FF3A0C" w:rsidRPr="00E43396" w:rsidRDefault="00FF3A0C" w:rsidP="00FF3A0C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000000" w:themeColor="text1"/>
          <w:sz w:val="21"/>
          <w:szCs w:val="21"/>
        </w:rPr>
      </w:pPr>
      <w:r w:rsidRPr="00E43396">
        <w:rPr>
          <w:rFonts w:ascii="Calibri" w:hAnsi="Calibri" w:cs="Calibri"/>
          <w:color w:val="000000" w:themeColor="text1"/>
          <w:sz w:val="21"/>
          <w:szCs w:val="21"/>
        </w:rPr>
        <w:t>Potential Real GDP Growth</w:t>
      </w:r>
      <w:r w:rsidR="00545E3B">
        <w:rPr>
          <w:rFonts w:ascii="Calibri" w:hAnsi="Calibri" w:cs="Calibri"/>
          <w:color w:val="000000" w:themeColor="text1"/>
          <w:sz w:val="21"/>
          <w:szCs w:val="21"/>
        </w:rPr>
        <w:t xml:space="preserve"> (SAAR)</w:t>
      </w:r>
    </w:p>
    <w:p w14:paraId="43CEC811" w14:textId="01FB59FD" w:rsidR="000712C9" w:rsidRPr="00E43396" w:rsidRDefault="000712C9" w:rsidP="001F679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Output Growth Gap: Real GDP Growth – Potential Real GDP Growth</w:t>
      </w:r>
      <w:r w:rsidR="00545E3B">
        <w:rPr>
          <w:rFonts w:ascii="Calibri" w:hAnsi="Calibri" w:cs="Calibri"/>
          <w:sz w:val="21"/>
          <w:szCs w:val="21"/>
        </w:rPr>
        <w:t xml:space="preserve"> (SAAR)</w:t>
      </w:r>
    </w:p>
    <w:p w14:paraId="05031258" w14:textId="377D4F03" w:rsidR="001F6791" w:rsidRPr="00E43396" w:rsidRDefault="00000000" w:rsidP="001F679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Unemployment </w:t>
      </w:r>
      <w:r w:rsidR="005000EF" w:rsidRPr="00E43396">
        <w:rPr>
          <w:rFonts w:ascii="Calibri" w:hAnsi="Calibri" w:cs="Calibri"/>
          <w:sz w:val="21"/>
          <w:szCs w:val="21"/>
        </w:rPr>
        <w:t>G</w:t>
      </w:r>
      <w:r w:rsidRPr="00E43396">
        <w:rPr>
          <w:rFonts w:ascii="Calibri" w:hAnsi="Calibri" w:cs="Calibri"/>
          <w:sz w:val="21"/>
          <w:szCs w:val="21"/>
        </w:rPr>
        <w:t xml:space="preserve">ap: UNRATE </w:t>
      </w:r>
      <w:r w:rsidR="0082665F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82665F" w:rsidRPr="00E43396">
        <w:rPr>
          <w:rFonts w:ascii="Calibri" w:hAnsi="Calibri" w:cs="Calibri"/>
          <w:sz w:val="21"/>
          <w:szCs w:val="21"/>
        </w:rPr>
        <w:t xml:space="preserve"> (Okun level)</w:t>
      </w:r>
    </w:p>
    <w:p w14:paraId="31390AD2" w14:textId="175EFB2A" w:rsidR="00E6559B" w:rsidRPr="00E43396" w:rsidRDefault="00000000" w:rsidP="001F679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ΔUnemployment: UNRATE_t - UNRATE_t-1</w:t>
      </w:r>
      <w:r w:rsidR="0082665F" w:rsidRPr="00E43396">
        <w:rPr>
          <w:rFonts w:ascii="Calibri" w:hAnsi="Calibri" w:cs="Calibri"/>
          <w:sz w:val="21"/>
          <w:szCs w:val="21"/>
        </w:rPr>
        <w:t xml:space="preserve"> (Okun difference)</w:t>
      </w:r>
    </w:p>
    <w:p w14:paraId="7AD41D23" w14:textId="32B3554C" w:rsidR="001F6791" w:rsidRPr="00E43396" w:rsidRDefault="001F6791" w:rsidP="001F679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10C2BB45" w14:textId="77777777" w:rsidR="00E6559B" w:rsidRPr="00E43396" w:rsidRDefault="00E6559B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42330043" w14:textId="55E67FBE" w:rsidR="005000EF" w:rsidRDefault="00E6559B" w:rsidP="00E43396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 xml:space="preserve">SAAR= </w:t>
      </w:r>
      <w:r w:rsidR="0082665F" w:rsidRPr="00E43396">
        <w:rPr>
          <w:rFonts w:ascii="Calibri" w:hAnsi="Calibri" w:cs="Calibri"/>
          <w:sz w:val="21"/>
          <w:szCs w:val="21"/>
        </w:rPr>
        <w:t>seasonally adjusted annual rate</w:t>
      </w:r>
    </w:p>
    <w:p w14:paraId="78DD3F2E" w14:textId="77777777" w:rsidR="00E43396" w:rsidRPr="00E43396" w:rsidRDefault="00E43396" w:rsidP="00E43396">
      <w:pPr>
        <w:spacing w:after="0"/>
        <w:rPr>
          <w:rFonts w:ascii="Calibri" w:hAnsi="Calibri" w:cs="Calibri"/>
          <w:sz w:val="21"/>
          <w:szCs w:val="21"/>
        </w:rPr>
      </w:pPr>
    </w:p>
    <w:p w14:paraId="0D5FA0A7" w14:textId="03952ED1" w:rsidR="007A073C" w:rsidRPr="00B40333" w:rsidRDefault="00000000" w:rsidP="001F6791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3. Model Specifications</w:t>
      </w:r>
    </w:p>
    <w:p w14:paraId="23356FC1" w14:textId="77777777" w:rsidR="007B64F2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Taylor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Rule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General specification:</w:t>
      </w:r>
      <w:r w:rsidR="002D6442" w:rsidRPr="00E43396">
        <w:rPr>
          <w:rFonts w:ascii="Calibri" w:hAnsi="Calibri" w:cs="Calibri"/>
          <w:sz w:val="21"/>
          <w:szCs w:val="21"/>
        </w:rPr>
        <w:br/>
        <w:t>i_t = r* + π_t + φπ(π_t − π*) + φx x_t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br/>
        <w:t>where x_t = 100*(GDPC1 − GDPPOT)/GDPPOT</w:t>
      </w:r>
      <w:r w:rsidR="000712C9" w:rsidRPr="00E43396">
        <w:rPr>
          <w:rFonts w:ascii="Calibri" w:hAnsi="Calibri" w:cs="Calibri"/>
          <w:sz w:val="21"/>
          <w:szCs w:val="21"/>
        </w:rPr>
        <w:t xml:space="preserve"> is the Output Gap</w:t>
      </w:r>
      <w:r w:rsidR="002D6442" w:rsidRPr="00E43396">
        <w:rPr>
          <w:rFonts w:ascii="Calibri" w:hAnsi="Calibri" w:cs="Calibri"/>
          <w:sz w:val="21"/>
          <w:szCs w:val="21"/>
        </w:rPr>
        <w:br/>
      </w:r>
    </w:p>
    <w:p w14:paraId="4B09A2CC" w14:textId="540CFA02" w:rsidR="002D6442" w:rsidRPr="00E43396" w:rsidRDefault="002D6442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Alternatively (dual mandate formulation):</w:t>
      </w:r>
      <w:r w:rsidRPr="00E43396">
        <w:rPr>
          <w:rFonts w:ascii="Calibri" w:hAnsi="Calibri" w:cs="Calibri"/>
          <w:sz w:val="21"/>
          <w:szCs w:val="21"/>
        </w:rPr>
        <w:br/>
        <w:t>i_t = r* + π_t + φπ(π_t − π*) − φu(u_t − u_t*)</w:t>
      </w:r>
      <w:r w:rsidRPr="00E43396">
        <w:rPr>
          <w:rFonts w:ascii="Calibri" w:hAnsi="Calibri" w:cs="Calibri"/>
          <w:sz w:val="21"/>
          <w:szCs w:val="21"/>
        </w:rPr>
        <w:br/>
        <w:t xml:space="preserve">with u_t − u_t*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Gap.</w:t>
      </w:r>
    </w:p>
    <w:p w14:paraId="4BB73ED4" w14:textId="77777777" w:rsidR="002D6442" w:rsidRPr="00E43396" w:rsidRDefault="002D6442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reaction coefficients (φπ, φx or φu) measure the intensity of policy reaction to deviations from targets. There is no adding-up constraint.</w:t>
      </w:r>
    </w:p>
    <w:p w14:paraId="4A65E596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41F8B25E" w14:textId="3C84B6CF" w:rsidR="002D6442" w:rsidRPr="00E43396" w:rsidRDefault="002D6442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Taylor (1993) calibration used in the project:</w:t>
      </w:r>
      <w:r w:rsidRPr="00E43396">
        <w:rPr>
          <w:rFonts w:ascii="Calibri" w:hAnsi="Calibri" w:cs="Calibri"/>
          <w:sz w:val="21"/>
          <w:szCs w:val="21"/>
        </w:rPr>
        <w:br/>
        <w:t>r* = 2%, π* = 2%, φπ = 0.5, φx = 0.5.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Compact form:</w:t>
      </w:r>
      <w:r w:rsidRPr="00E43396">
        <w:rPr>
          <w:rFonts w:ascii="Calibri" w:hAnsi="Calibri" w:cs="Calibri"/>
          <w:sz w:val="21"/>
          <w:szCs w:val="21"/>
        </w:rPr>
        <w:br/>
        <w:t>i_t = 1 + 1.5π_t + 0.5x_t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Taylor principle: the total coefficient on inflation must exceed 1 (here 1 + 0.5 = 1.5), ensuring that real rates increase when inflation rises.</w:t>
      </w:r>
    </w:p>
    <w:p w14:paraId="71F4E6A6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6800CD2B" w14:textId="44364B55" w:rsidR="00E6559B" w:rsidRPr="00E43396" w:rsidRDefault="00E6559B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Taylor Rule is estimated using both headline and core inflation to assess whether monetary policy reacts more strongly to transitory or persistent inflation components.</w:t>
      </w:r>
    </w:p>
    <w:p w14:paraId="494F6D3A" w14:textId="3D580DB0" w:rsidR="008156F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Phillips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>Curve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General </w:t>
      </w:r>
      <w:r w:rsidR="002D6442" w:rsidRPr="00E43396">
        <w:rPr>
          <w:rFonts w:ascii="Calibri" w:hAnsi="Calibri" w:cs="Calibri"/>
          <w:b/>
          <w:bCs/>
          <w:sz w:val="21"/>
          <w:szCs w:val="21"/>
        </w:rPr>
        <w:t>Specification:</w:t>
      </w:r>
      <w:r w:rsidR="002D6442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t>The Phillips Curve is estimated using both headline and core inflation</w:t>
      </w:r>
      <w:r w:rsidR="001F6791" w:rsidRPr="00E43396">
        <w:rPr>
          <w:rFonts w:ascii="Calibri" w:hAnsi="Calibri" w:cs="Calibri"/>
          <w:sz w:val="21"/>
          <w:szCs w:val="21"/>
        </w:rPr>
        <w:t>.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π_t = α + βπ_t^e − κ(u_t − u_t*) + ε_t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where:</w:t>
      </w:r>
      <w:r w:rsidR="00E6559B" w:rsidRPr="00E43396">
        <w:rPr>
          <w:rFonts w:ascii="Calibri" w:hAnsi="Calibri" w:cs="Calibri"/>
          <w:sz w:val="21"/>
          <w:szCs w:val="21"/>
        </w:rPr>
        <w:br/>
        <w:t>• π_t is alternatively headline or core PCE inflation</w:t>
      </w:r>
      <w:r w:rsidR="00E6559B" w:rsidRPr="00E43396">
        <w:rPr>
          <w:rFonts w:ascii="Calibri" w:hAnsi="Calibri" w:cs="Calibri"/>
          <w:sz w:val="21"/>
          <w:szCs w:val="21"/>
        </w:rPr>
        <w:br/>
        <w:t>• π_t^e = T5YIFR (forward inflation expectations)</w:t>
      </w:r>
      <w:r w:rsidR="00E6559B" w:rsidRPr="00E43396">
        <w:rPr>
          <w:rFonts w:ascii="Calibri" w:hAnsi="Calibri" w:cs="Calibri"/>
          <w:sz w:val="21"/>
          <w:szCs w:val="21"/>
        </w:rPr>
        <w:br/>
        <w:t xml:space="preserve">• (u_t − u_t*) = UNRATE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="00E6559B" w:rsidRPr="00E43396">
        <w:rPr>
          <w:rFonts w:ascii="Calibri" w:hAnsi="Calibri" w:cs="Calibri"/>
          <w:sz w:val="21"/>
          <w:szCs w:val="21"/>
        </w:rPr>
        <w:t xml:space="preserve"> NROU</w:t>
      </w:r>
      <w:r w:rsidR="000712C9" w:rsidRPr="00E43396">
        <w:rPr>
          <w:rFonts w:ascii="Calibri" w:hAnsi="Calibri" w:cs="Calibri"/>
          <w:sz w:val="21"/>
          <w:szCs w:val="21"/>
        </w:rPr>
        <w:t xml:space="preserve"> is Unemployment Gap</w:t>
      </w:r>
      <w:r w:rsidR="00E6559B" w:rsidRPr="00E43396">
        <w:rPr>
          <w:rFonts w:ascii="Calibri" w:hAnsi="Calibri" w:cs="Calibri"/>
          <w:sz w:val="21"/>
          <w:szCs w:val="21"/>
        </w:rPr>
        <w:br/>
      </w:r>
      <w:r w:rsidR="00E6559B" w:rsidRPr="00E43396">
        <w:rPr>
          <w:rFonts w:ascii="Calibri" w:hAnsi="Calibri" w:cs="Calibri"/>
          <w:sz w:val="21"/>
          <w:szCs w:val="21"/>
        </w:rPr>
        <w:br/>
        <w:t>Core inflation is expected to show a more stable relationship with labour market slack.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Law </w:t>
      </w:r>
      <w:r w:rsidRPr="00E43396">
        <w:rPr>
          <w:rFonts w:ascii="Calibri" w:hAnsi="Calibri" w:cs="Calibri"/>
          <w:b/>
          <w:bCs/>
          <w:sz w:val="21"/>
          <w:szCs w:val="21"/>
        </w:rPr>
        <w:t>(levels):</w:t>
      </w:r>
      <w:r w:rsidRPr="00E43396">
        <w:rPr>
          <w:rFonts w:ascii="Calibri" w:hAnsi="Calibri" w:cs="Calibri"/>
          <w:sz w:val="21"/>
          <w:szCs w:val="21"/>
        </w:rPr>
        <w:br/>
        <w:t>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-u</w:t>
      </w:r>
      <w:r w:rsidR="00E6559B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* = α </w:t>
      </w:r>
      <w:r w:rsidR="002D6442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λx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5373C0EA" w14:textId="3461C7AF" w:rsidR="002D6442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b/>
          <w:bCs/>
          <w:sz w:val="21"/>
          <w:szCs w:val="21"/>
        </w:rPr>
        <w:t>Okun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Law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 (difference):</w:t>
      </w:r>
      <w:r w:rsidRPr="00E43396">
        <w:rPr>
          <w:rFonts w:ascii="Calibri" w:hAnsi="Calibri" w:cs="Calibri"/>
          <w:sz w:val="21"/>
          <w:szCs w:val="21"/>
        </w:rPr>
        <w:br/>
        <w:t>Δu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= α - β(g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 xml:space="preserve"> </w:t>
      </w:r>
      <w:r w:rsidR="000712C9" w:rsidRPr="00E43396">
        <w:rPr>
          <w:rFonts w:ascii="Calibri" w:hAnsi="Calibri" w:cs="Calibri"/>
          <w:sz w:val="21"/>
          <w:szCs w:val="21"/>
        </w:rPr>
        <w:t>–</w:t>
      </w:r>
      <w:r w:rsidRPr="00E43396">
        <w:rPr>
          <w:rFonts w:ascii="Calibri" w:hAnsi="Calibri" w:cs="Calibri"/>
          <w:sz w:val="21"/>
          <w:szCs w:val="21"/>
        </w:rPr>
        <w:t xml:space="preserve"> g</w:t>
      </w:r>
      <w:r w:rsidR="000712C9" w:rsidRPr="00E43396">
        <w:rPr>
          <w:rFonts w:ascii="Calibri" w:hAnsi="Calibri" w:cs="Calibri"/>
          <w:sz w:val="21"/>
          <w:szCs w:val="21"/>
        </w:rPr>
        <w:t>_t</w:t>
      </w:r>
      <w:r w:rsidRPr="00E43396">
        <w:rPr>
          <w:rFonts w:ascii="Calibri" w:hAnsi="Calibri" w:cs="Calibri"/>
          <w:sz w:val="21"/>
          <w:szCs w:val="21"/>
        </w:rPr>
        <w:t>*)</w:t>
      </w:r>
      <w:r w:rsidR="002D6442" w:rsidRPr="00E43396">
        <w:rPr>
          <w:rFonts w:ascii="Calibri" w:hAnsi="Calibri" w:cs="Calibri"/>
          <w:sz w:val="21"/>
          <w:szCs w:val="21"/>
        </w:rPr>
        <w:t xml:space="preserve"> + ε_t</w:t>
      </w:r>
    </w:p>
    <w:p w14:paraId="679A03F3" w14:textId="77777777" w:rsidR="00E6559B" w:rsidRPr="00E43396" w:rsidRDefault="00E6559B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452FA4CA" w14:textId="77777777" w:rsidR="000712C9" w:rsidRPr="00E43396" w:rsidRDefault="000712C9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3D1FC8FF" w14:textId="459504F3" w:rsidR="000712C9" w:rsidRPr="00E43396" w:rsidRDefault="000712C9" w:rsidP="000712C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x_t= (GDP - Potential GDP) / Potential GDP * 100</w:t>
      </w:r>
    </w:p>
    <w:p w14:paraId="504C6452" w14:textId="49F345C3" w:rsidR="000712C9" w:rsidRPr="00E43396" w:rsidRDefault="000712C9" w:rsidP="000712C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(g_t – g_t*)= GDP Growth (annualized)– Potential Real GDP Growth (annualized)</w:t>
      </w:r>
    </w:p>
    <w:p w14:paraId="2B2C099E" w14:textId="26365C3E" w:rsidR="008156FC" w:rsidRPr="00E43396" w:rsidRDefault="00E6559B" w:rsidP="000712C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Δu_t is measured in percentage points (not annualized)</w:t>
      </w:r>
      <w:r w:rsidRPr="00E43396">
        <w:rPr>
          <w:rFonts w:ascii="Calibri" w:hAnsi="Calibri" w:cs="Calibri"/>
          <w:sz w:val="21"/>
          <w:szCs w:val="21"/>
        </w:rPr>
        <w:br/>
      </w:r>
    </w:p>
    <w:p w14:paraId="3B2BC2EB" w14:textId="7C56C6EF" w:rsidR="002D6442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Beveridge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>’s Curve</w:t>
      </w:r>
      <w:r w:rsidRPr="00E43396">
        <w:rPr>
          <w:rFonts w:ascii="Calibri" w:hAnsi="Calibri" w:cs="Calibri"/>
          <w:b/>
          <w:bCs/>
          <w:sz w:val="21"/>
          <w:szCs w:val="21"/>
        </w:rPr>
        <w:t>:</w:t>
      </w:r>
      <w:r w:rsidRPr="00E43396">
        <w:rPr>
          <w:rFonts w:ascii="Calibri" w:hAnsi="Calibri" w:cs="Calibri"/>
          <w:sz w:val="21"/>
          <w:szCs w:val="21"/>
        </w:rPr>
        <w:br/>
      </w:r>
      <w:r w:rsidR="002D6442" w:rsidRPr="00E43396">
        <w:rPr>
          <w:rFonts w:ascii="Calibri" w:hAnsi="Calibri" w:cs="Calibri"/>
          <w:sz w:val="21"/>
          <w:szCs w:val="21"/>
        </w:rPr>
        <w:t>u_t = α − b v_t + ε_t</w:t>
      </w:r>
    </w:p>
    <w:p w14:paraId="431EF54E" w14:textId="22B80199" w:rsidR="001F6791" w:rsidRDefault="002D6442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v_t = JTSJOR (vacancy rate</w:t>
      </w:r>
      <w:r w:rsidR="000712C9" w:rsidRPr="00E43396">
        <w:rPr>
          <w:rFonts w:ascii="Calibri" w:hAnsi="Calibri" w:cs="Calibri"/>
          <w:sz w:val="21"/>
          <w:szCs w:val="21"/>
        </w:rPr>
        <w:t xml:space="preserve"> proxy</w:t>
      </w:r>
      <w:r w:rsidRPr="00E43396">
        <w:rPr>
          <w:rFonts w:ascii="Calibri" w:hAnsi="Calibri" w:cs="Calibri"/>
          <w:sz w:val="21"/>
          <w:szCs w:val="21"/>
        </w:rPr>
        <w:t>)</w:t>
      </w:r>
    </w:p>
    <w:p w14:paraId="79FC739B" w14:textId="77777777" w:rsidR="007B64F2" w:rsidRPr="00E43396" w:rsidRDefault="007B64F2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783AD96D" w14:textId="2BE3A8B8" w:rsidR="002D6442" w:rsidRPr="00E43396" w:rsidRDefault="002D6442" w:rsidP="001F6791">
      <w:pPr>
        <w:spacing w:after="0"/>
        <w:rPr>
          <w:rFonts w:ascii="Calibri" w:hAnsi="Calibri" w:cs="Calibri"/>
          <w:b/>
          <w:bCs/>
          <w:sz w:val="21"/>
          <w:szCs w:val="21"/>
        </w:rPr>
      </w:pPr>
      <w:r w:rsidRPr="00E43396">
        <w:rPr>
          <w:rFonts w:ascii="Calibri" w:hAnsi="Calibri" w:cs="Calibri"/>
          <w:b/>
          <w:bCs/>
          <w:sz w:val="21"/>
          <w:szCs w:val="21"/>
        </w:rPr>
        <w:t>Sahm</w:t>
      </w:r>
      <w:r w:rsidR="001F6791" w:rsidRPr="00E43396">
        <w:rPr>
          <w:rFonts w:ascii="Calibri" w:hAnsi="Calibri" w:cs="Calibri"/>
          <w:b/>
          <w:bCs/>
          <w:sz w:val="21"/>
          <w:szCs w:val="21"/>
        </w:rPr>
        <w:t xml:space="preserve">’s </w:t>
      </w:r>
      <w:r w:rsidRPr="00E43396">
        <w:rPr>
          <w:rFonts w:ascii="Calibri" w:hAnsi="Calibri" w:cs="Calibri"/>
          <w:b/>
          <w:bCs/>
          <w:sz w:val="21"/>
          <w:szCs w:val="21"/>
        </w:rPr>
        <w:t xml:space="preserve">Rule: </w:t>
      </w:r>
    </w:p>
    <w:p w14:paraId="3A3A8C1F" w14:textId="731E6118" w:rsidR="00D87D80" w:rsidRDefault="002D6442" w:rsidP="00D87D80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3-month moving average of unemployment minus minimum over previous 12 months.</w:t>
      </w:r>
      <w:r w:rsidRPr="00E43396">
        <w:rPr>
          <w:rFonts w:ascii="Calibri" w:hAnsi="Calibri" w:cs="Calibri"/>
          <w:sz w:val="21"/>
          <w:szCs w:val="21"/>
        </w:rPr>
        <w:br/>
        <w:t>Recession signal if ≥ 0.5 percentage points.</w:t>
      </w:r>
    </w:p>
    <w:p w14:paraId="12535DB2" w14:textId="77777777" w:rsidR="00D87D80" w:rsidRPr="00D87D80" w:rsidRDefault="00D87D80" w:rsidP="00D87D80">
      <w:pPr>
        <w:spacing w:after="0"/>
        <w:rPr>
          <w:rFonts w:ascii="Calibri" w:hAnsi="Calibri" w:cs="Calibri"/>
          <w:sz w:val="21"/>
          <w:szCs w:val="21"/>
        </w:rPr>
      </w:pPr>
    </w:p>
    <w:p w14:paraId="09C5B88F" w14:textId="48E2A757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4. Important Note on Relationships</w:t>
      </w:r>
    </w:p>
    <w:p w14:paraId="21D72619" w14:textId="55DD56E3" w:rsidR="00D87D80" w:rsidRDefault="00000000" w:rsidP="00D87D80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Okun (levels) uses stock variables (gaps), while Okun (difference) uses flow variables (changes).</w:t>
      </w:r>
      <w:r w:rsidRPr="00E43396">
        <w:rPr>
          <w:rFonts w:ascii="Calibri" w:hAnsi="Calibri" w:cs="Calibri"/>
          <w:sz w:val="21"/>
          <w:szCs w:val="21"/>
        </w:rPr>
        <w:br/>
        <w:t>Phillips Curve is multivariate: bivariate correlations are weak by construction.</w:t>
      </w:r>
      <w:r w:rsidRPr="00E43396">
        <w:rPr>
          <w:rFonts w:ascii="Calibri" w:hAnsi="Calibri" w:cs="Calibri"/>
          <w:sz w:val="21"/>
          <w:szCs w:val="21"/>
        </w:rPr>
        <w:br/>
        <w:t>Beveridge is fundamentally bivariate (unemployment vs vacancies).</w:t>
      </w:r>
    </w:p>
    <w:p w14:paraId="6CDE1391" w14:textId="77777777" w:rsidR="00D87D80" w:rsidRPr="00D87D80" w:rsidRDefault="00D87D80" w:rsidP="00D87D80">
      <w:pPr>
        <w:spacing w:after="0"/>
        <w:rPr>
          <w:rFonts w:ascii="Calibri" w:hAnsi="Calibri" w:cs="Calibri"/>
          <w:sz w:val="21"/>
          <w:szCs w:val="21"/>
        </w:rPr>
      </w:pPr>
    </w:p>
    <w:p w14:paraId="73848785" w14:textId="233E2326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5. Python Analysis Code</w:t>
      </w:r>
    </w:p>
    <w:p w14:paraId="3E4FDFF8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Import libraries:</w:t>
      </w:r>
    </w:p>
    <w:p w14:paraId="5AD00341" w14:textId="7919C228" w:rsidR="002D6442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import pandas as pd</w:t>
      </w:r>
      <w:r w:rsidRPr="00E43396">
        <w:rPr>
          <w:rFonts w:ascii="Calibri" w:hAnsi="Calibri" w:cs="Calibri"/>
          <w:sz w:val="21"/>
          <w:szCs w:val="21"/>
        </w:rPr>
        <w:br/>
        <w:t>import statsmodels.api as sm</w:t>
      </w:r>
      <w:r w:rsidRPr="00E43396">
        <w:rPr>
          <w:rFonts w:ascii="Calibri" w:hAnsi="Calibri" w:cs="Calibri"/>
          <w:sz w:val="21"/>
          <w:szCs w:val="21"/>
        </w:rPr>
        <w:br/>
        <w:t>import matplotlib.pyplot as plt</w:t>
      </w:r>
    </w:p>
    <w:p w14:paraId="2F0146AB" w14:textId="6720AB95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Load data:</w:t>
      </w:r>
    </w:p>
    <w:p w14:paraId="5F00E137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df = pd.read_csv('dataset.csv')</w:t>
      </w:r>
      <w:r w:rsidRPr="00E43396">
        <w:rPr>
          <w:rFonts w:ascii="Calibri" w:hAnsi="Calibri" w:cs="Calibri"/>
          <w:sz w:val="21"/>
          <w:szCs w:val="21"/>
        </w:rPr>
        <w:br/>
        <w:t>df['Date'] = pd.to_datetime(df['Date'])</w:t>
      </w:r>
    </w:p>
    <w:p w14:paraId="3FCCE5AE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Okun (levels regression):</w:t>
      </w:r>
    </w:p>
    <w:p w14:paraId="329410DD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 = sm.add_constant(df['U_GAP'])</w:t>
      </w:r>
      <w:r w:rsidRPr="00E43396">
        <w:rPr>
          <w:rFonts w:ascii="Calibri" w:hAnsi="Calibri" w:cs="Calibri"/>
          <w:sz w:val="21"/>
          <w:szCs w:val="21"/>
        </w:rPr>
        <w:br/>
        <w:t>model_okun = sm.OLS(df['Y_GAP'], X).fit()</w:t>
      </w:r>
      <w:r w:rsidRPr="00E43396">
        <w:rPr>
          <w:rFonts w:ascii="Calibri" w:hAnsi="Calibri" w:cs="Calibri"/>
          <w:sz w:val="21"/>
          <w:szCs w:val="21"/>
        </w:rPr>
        <w:br/>
        <w:t>print(model_okun.summary())</w:t>
      </w:r>
    </w:p>
    <w:p w14:paraId="7557C127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Okun (difference regression):</w:t>
      </w:r>
    </w:p>
    <w:p w14:paraId="4299F153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 = sm.add_constant(df['GDP_GROWTH_GAP'])</w:t>
      </w:r>
      <w:r w:rsidRPr="00E43396">
        <w:rPr>
          <w:rFonts w:ascii="Calibri" w:hAnsi="Calibri" w:cs="Calibri"/>
          <w:sz w:val="21"/>
          <w:szCs w:val="21"/>
        </w:rPr>
        <w:br/>
        <w:t>model_okun_diff = sm.OLS(df['DELTA_UNRATE'], X).fit()</w:t>
      </w:r>
      <w:r w:rsidRPr="00E43396">
        <w:rPr>
          <w:rFonts w:ascii="Calibri" w:hAnsi="Calibri" w:cs="Calibri"/>
          <w:sz w:val="21"/>
          <w:szCs w:val="21"/>
        </w:rPr>
        <w:br/>
        <w:t>print(model_okun_diff.summary())</w:t>
      </w:r>
    </w:p>
    <w:p w14:paraId="26CBD63E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Phillips Curve regression:</w:t>
      </w:r>
    </w:p>
    <w:p w14:paraId="74E6E13C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 = sm.add_constant(df[['EXP_INF','U_GAP']])</w:t>
      </w:r>
      <w:r w:rsidRPr="00E43396">
        <w:rPr>
          <w:rFonts w:ascii="Calibri" w:hAnsi="Calibri" w:cs="Calibri"/>
          <w:sz w:val="21"/>
          <w:szCs w:val="21"/>
        </w:rPr>
        <w:br/>
        <w:t>model_phillips = sm.OLS(df['INFLATION'], X).fit()</w:t>
      </w:r>
      <w:r w:rsidRPr="00E43396">
        <w:rPr>
          <w:rFonts w:ascii="Calibri" w:hAnsi="Calibri" w:cs="Calibri"/>
          <w:sz w:val="21"/>
          <w:szCs w:val="21"/>
        </w:rPr>
        <w:br/>
        <w:t>print(model_phillips.summary())</w:t>
      </w:r>
    </w:p>
    <w:p w14:paraId="585BBD65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Beveridge Curve regression:</w:t>
      </w:r>
    </w:p>
    <w:p w14:paraId="527DBC9C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X = sm.add_constant(df['JOB_OPENINGS_RATE'])</w:t>
      </w:r>
      <w:r w:rsidRPr="00E43396">
        <w:rPr>
          <w:rFonts w:ascii="Calibri" w:hAnsi="Calibri" w:cs="Calibri"/>
          <w:sz w:val="21"/>
          <w:szCs w:val="21"/>
        </w:rPr>
        <w:br/>
        <w:t>model_beveridge = sm.OLS(df['UNRATE'], X).fit()</w:t>
      </w:r>
      <w:r w:rsidRPr="00E43396">
        <w:rPr>
          <w:rFonts w:ascii="Calibri" w:hAnsi="Calibri" w:cs="Calibri"/>
          <w:sz w:val="21"/>
          <w:szCs w:val="21"/>
        </w:rPr>
        <w:br/>
        <w:t>print(model_beveridge.summary())</w:t>
      </w:r>
    </w:p>
    <w:p w14:paraId="3CB97C3F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Correlations (bivariate checks):</w:t>
      </w:r>
    </w:p>
    <w:p w14:paraId="32E052FB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print(df[['U_GAP','Y_GAP']].corr())</w:t>
      </w:r>
      <w:r w:rsidRPr="00E43396">
        <w:rPr>
          <w:rFonts w:ascii="Calibri" w:hAnsi="Calibri" w:cs="Calibri"/>
          <w:sz w:val="21"/>
          <w:szCs w:val="21"/>
        </w:rPr>
        <w:br/>
        <w:t>print(df[['GDP_GROWTH_GAP','DELTA_UNRATE']].corr())</w:t>
      </w:r>
      <w:r w:rsidRPr="00E43396">
        <w:rPr>
          <w:rFonts w:ascii="Calibri" w:hAnsi="Calibri" w:cs="Calibri"/>
          <w:sz w:val="21"/>
          <w:szCs w:val="21"/>
        </w:rPr>
        <w:br/>
        <w:t>print(df[['UNRATE','JOB_OPENINGS_RATE']].corr())</w:t>
      </w:r>
    </w:p>
    <w:p w14:paraId="62DC35B5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Basic plots:</w:t>
      </w:r>
    </w:p>
    <w:p w14:paraId="37212E63" w14:textId="35B83F99" w:rsidR="003C7807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plt.scatter(df['U_GAP'], df['Y_GAP'])</w:t>
      </w:r>
      <w:r w:rsidRPr="00E43396">
        <w:rPr>
          <w:rFonts w:ascii="Calibri" w:hAnsi="Calibri" w:cs="Calibri"/>
          <w:sz w:val="21"/>
          <w:szCs w:val="21"/>
        </w:rPr>
        <w:br/>
        <w:t>plt.title('Okun (levels)')</w:t>
      </w:r>
      <w:r w:rsidRPr="00E43396">
        <w:rPr>
          <w:rFonts w:ascii="Calibri" w:hAnsi="Calibri" w:cs="Calibri"/>
          <w:sz w:val="21"/>
          <w:szCs w:val="21"/>
        </w:rPr>
        <w:br/>
        <w:t>plt.show()</w:t>
      </w:r>
    </w:p>
    <w:p w14:paraId="26B69319" w14:textId="77777777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lastRenderedPageBreak/>
        <w:t>6. Beveridge Extension: Labour Market Tightness</w:t>
      </w:r>
    </w:p>
    <w:p w14:paraId="4535E219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Beyond the standard Beveridge curve (Unemployment Rate vs Job Openings Rate), the analysis can be extended by computing a labour market tightness indicator. This is defined as the ratio between job openings and unemployment.</w:t>
      </w:r>
    </w:p>
    <w:p w14:paraId="3F2FC5E1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 formula:</w:t>
      </w:r>
    </w:p>
    <w:p w14:paraId="26C718B0" w14:textId="2C830833" w:rsidR="007A073C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Tightness_t = JOB_OPENINGS_RATE_t / UNRATE_t</w:t>
      </w:r>
    </w:p>
    <w:p w14:paraId="378A408E" w14:textId="4DDB5F40" w:rsidR="00D87D80" w:rsidRDefault="00000000" w:rsidP="00D87D80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Interpretation:</w:t>
      </w:r>
      <w:r w:rsidRPr="00E43396">
        <w:rPr>
          <w:rFonts w:ascii="Calibri" w:hAnsi="Calibri" w:cs="Calibri"/>
          <w:sz w:val="21"/>
          <w:szCs w:val="21"/>
        </w:rPr>
        <w:br/>
        <w:t>• Higher tightness = more vacancies relative to unemployment, indicating a tighter labour market.</w:t>
      </w:r>
      <w:r w:rsidRPr="00E43396">
        <w:rPr>
          <w:rFonts w:ascii="Calibri" w:hAnsi="Calibri" w:cs="Calibri"/>
          <w:sz w:val="21"/>
          <w:szCs w:val="21"/>
        </w:rPr>
        <w:br/>
        <w:t>• Lower tightness = weaker labour demand relative to labour supply.</w:t>
      </w:r>
      <w:r w:rsidRPr="00E43396">
        <w:rPr>
          <w:rFonts w:ascii="Calibri" w:hAnsi="Calibri" w:cs="Calibri"/>
          <w:sz w:val="21"/>
          <w:szCs w:val="21"/>
        </w:rPr>
        <w:br/>
        <w:t>• Tightness complements, but does not replace, the Beveridge curve.</w:t>
      </w:r>
    </w:p>
    <w:p w14:paraId="415A85A0" w14:textId="77777777" w:rsidR="00D87D80" w:rsidRPr="00D87D80" w:rsidRDefault="00D87D80" w:rsidP="00D87D80">
      <w:pPr>
        <w:spacing w:after="0"/>
        <w:rPr>
          <w:rFonts w:ascii="Calibri" w:hAnsi="Calibri" w:cs="Calibri"/>
          <w:sz w:val="21"/>
          <w:szCs w:val="21"/>
        </w:rPr>
      </w:pPr>
    </w:p>
    <w:p w14:paraId="20D35D83" w14:textId="1EA192D2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7. Additional Python Code: Beveridge Tightness</w:t>
      </w:r>
    </w:p>
    <w:p w14:paraId="67B72DB9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Compute labour market tightness:</w:t>
      </w:r>
    </w:p>
    <w:p w14:paraId="796208D1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df['TIGHTNESS'] = df['JOB_OPENINGS_RATE'] / df['UNRATE']</w:t>
      </w:r>
      <w:r w:rsidRPr="00E43396">
        <w:rPr>
          <w:rFonts w:ascii="Calibri" w:hAnsi="Calibri" w:cs="Calibri"/>
          <w:sz w:val="21"/>
          <w:szCs w:val="21"/>
        </w:rPr>
        <w:br/>
        <w:t>print(df[['Date', 'UNRATE', 'JOB_OPENINGS_RATE', 'TIGHTNESS']].head())</w:t>
      </w:r>
    </w:p>
    <w:p w14:paraId="40F9285F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Plot tightness over time:</w:t>
      </w:r>
    </w:p>
    <w:p w14:paraId="318E9476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plt.figure(figsize=(10,5))</w:t>
      </w:r>
      <w:r w:rsidRPr="00E43396">
        <w:rPr>
          <w:rFonts w:ascii="Calibri" w:hAnsi="Calibri" w:cs="Calibri"/>
          <w:sz w:val="21"/>
          <w:szCs w:val="21"/>
        </w:rPr>
        <w:br/>
        <w:t>plt.plot(df['Date'], df['TIGHTNESS'])</w:t>
      </w:r>
      <w:r w:rsidRPr="00E43396">
        <w:rPr>
          <w:rFonts w:ascii="Calibri" w:hAnsi="Calibri" w:cs="Calibri"/>
          <w:sz w:val="21"/>
          <w:szCs w:val="21"/>
        </w:rPr>
        <w:br/>
        <w:t>plt.title('Labour Market Tightness Over Time')</w:t>
      </w:r>
      <w:r w:rsidRPr="00E43396">
        <w:rPr>
          <w:rFonts w:ascii="Calibri" w:hAnsi="Calibri" w:cs="Calibri"/>
          <w:sz w:val="21"/>
          <w:szCs w:val="21"/>
        </w:rPr>
        <w:br/>
        <w:t>plt.xlabel('Date')</w:t>
      </w:r>
      <w:r w:rsidRPr="00E43396">
        <w:rPr>
          <w:rFonts w:ascii="Calibri" w:hAnsi="Calibri" w:cs="Calibri"/>
          <w:sz w:val="21"/>
          <w:szCs w:val="21"/>
        </w:rPr>
        <w:br/>
        <w:t>plt.ylabel('Tightness (Job Openings Rate / Unemployment Rate)')</w:t>
      </w:r>
      <w:r w:rsidRPr="00E43396">
        <w:rPr>
          <w:rFonts w:ascii="Calibri" w:hAnsi="Calibri" w:cs="Calibri"/>
          <w:sz w:val="21"/>
          <w:szCs w:val="21"/>
        </w:rPr>
        <w:br/>
        <w:t>plt.grid(True)</w:t>
      </w:r>
      <w:r w:rsidRPr="00E43396">
        <w:rPr>
          <w:rFonts w:ascii="Calibri" w:hAnsi="Calibri" w:cs="Calibri"/>
          <w:sz w:val="21"/>
          <w:szCs w:val="21"/>
        </w:rPr>
        <w:br/>
        <w:t>plt.show()</w:t>
      </w:r>
    </w:p>
    <w:p w14:paraId="45E24570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Compare Beveridge full sample vs ex-COVID sample:</w:t>
      </w:r>
    </w:p>
    <w:p w14:paraId="148EB9F9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df_ex_covid = df[(df['Date'] &lt; '2020-04-01') | (df['Date'] &gt; '2021-10-01')].copy()</w:t>
      </w:r>
      <w:r w:rsidRPr="00E43396">
        <w:rPr>
          <w:rFonts w:ascii="Calibri" w:hAnsi="Calibri" w:cs="Calibri"/>
          <w:sz w:val="21"/>
          <w:szCs w:val="21"/>
        </w:rPr>
        <w:br/>
      </w:r>
      <w:r w:rsidRPr="00E43396">
        <w:rPr>
          <w:rFonts w:ascii="Calibri" w:hAnsi="Calibri" w:cs="Calibri"/>
          <w:sz w:val="21"/>
          <w:szCs w:val="21"/>
        </w:rPr>
        <w:br/>
        <w:t>plt.figure(figsize=(7,5))</w:t>
      </w:r>
      <w:r w:rsidRPr="00E43396">
        <w:rPr>
          <w:rFonts w:ascii="Calibri" w:hAnsi="Calibri" w:cs="Calibri"/>
          <w:sz w:val="21"/>
          <w:szCs w:val="21"/>
        </w:rPr>
        <w:br/>
        <w:t>plt.scatter(df['UNRATE'], df['JOB_OPENINGS_RATE'], alpha=0.6, label='Full sample')</w:t>
      </w:r>
      <w:r w:rsidRPr="00E43396">
        <w:rPr>
          <w:rFonts w:ascii="Calibri" w:hAnsi="Calibri" w:cs="Calibri"/>
          <w:sz w:val="21"/>
          <w:szCs w:val="21"/>
        </w:rPr>
        <w:br/>
        <w:t>plt.scatter(df_ex_covid['UNRATE'], df_ex_covid['JOB_OPENINGS_RATE'], alpha=0.6, label='Ex-COVID')</w:t>
      </w:r>
      <w:r w:rsidRPr="00E43396">
        <w:rPr>
          <w:rFonts w:ascii="Calibri" w:hAnsi="Calibri" w:cs="Calibri"/>
          <w:sz w:val="21"/>
          <w:szCs w:val="21"/>
        </w:rPr>
        <w:br/>
        <w:t>plt.title('Beveridge Curve: Full Sample vs Ex-COVID')</w:t>
      </w:r>
      <w:r w:rsidRPr="00E43396">
        <w:rPr>
          <w:rFonts w:ascii="Calibri" w:hAnsi="Calibri" w:cs="Calibri"/>
          <w:sz w:val="21"/>
          <w:szCs w:val="21"/>
        </w:rPr>
        <w:br/>
        <w:t>plt.xlabel('Unemployment Rate')</w:t>
      </w:r>
      <w:r w:rsidRPr="00E43396">
        <w:rPr>
          <w:rFonts w:ascii="Calibri" w:hAnsi="Calibri" w:cs="Calibri"/>
          <w:sz w:val="21"/>
          <w:szCs w:val="21"/>
        </w:rPr>
        <w:br/>
        <w:t>plt.ylabel('Job Openings Rate')</w:t>
      </w:r>
      <w:r w:rsidRPr="00E43396">
        <w:rPr>
          <w:rFonts w:ascii="Calibri" w:hAnsi="Calibri" w:cs="Calibri"/>
          <w:sz w:val="21"/>
          <w:szCs w:val="21"/>
        </w:rPr>
        <w:br/>
        <w:t>plt.legend()</w:t>
      </w:r>
      <w:r w:rsidRPr="00E43396">
        <w:rPr>
          <w:rFonts w:ascii="Calibri" w:hAnsi="Calibri" w:cs="Calibri"/>
          <w:sz w:val="21"/>
          <w:szCs w:val="21"/>
        </w:rPr>
        <w:br/>
        <w:t>plt.show()</w:t>
      </w:r>
    </w:p>
    <w:p w14:paraId="42814898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Bivariate correlation for Beveridge:</w:t>
      </w:r>
    </w:p>
    <w:p w14:paraId="50894DFC" w14:textId="3E819EA1" w:rsidR="00D87D80" w:rsidRDefault="00000000" w:rsidP="00D87D80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print(df[['UNRATE', 'JOB_OPENINGS_RATE']].corr())</w:t>
      </w:r>
      <w:r w:rsidRPr="00E43396">
        <w:rPr>
          <w:rFonts w:ascii="Calibri" w:hAnsi="Calibri" w:cs="Calibri"/>
          <w:sz w:val="21"/>
          <w:szCs w:val="21"/>
        </w:rPr>
        <w:br/>
        <w:t>print(df_ex_covid[['UNRATE', 'JOB_OPENINGS_RATE']].corr())</w:t>
      </w:r>
    </w:p>
    <w:p w14:paraId="1AB93794" w14:textId="77777777" w:rsidR="00D87D80" w:rsidRPr="00D87D80" w:rsidRDefault="00D87D80" w:rsidP="00D87D80">
      <w:pPr>
        <w:spacing w:after="0"/>
        <w:rPr>
          <w:rFonts w:ascii="Calibri" w:hAnsi="Calibri" w:cs="Calibri"/>
          <w:sz w:val="21"/>
          <w:szCs w:val="21"/>
        </w:rPr>
      </w:pPr>
    </w:p>
    <w:p w14:paraId="212026AD" w14:textId="48C534D9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8. Inflation Expectations: 5Y5Y Forward and Breakeven</w:t>
      </w:r>
    </w:p>
    <w:p w14:paraId="58D2A0B0" w14:textId="00BFF08E" w:rsidR="001F6791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project uses market-based inflation expectations derived from financial instruments. Two key measures are considered: the 5-year, 5-year forward inflation rate (5Y5Y)</w:t>
      </w:r>
      <w:r w:rsidR="001F6791" w:rsidRPr="00E43396">
        <w:rPr>
          <w:rFonts w:ascii="Calibri" w:hAnsi="Calibri" w:cs="Calibri"/>
          <w:sz w:val="21"/>
          <w:szCs w:val="21"/>
        </w:rPr>
        <w:t>,</w:t>
      </w:r>
      <w:r w:rsidRPr="00E43396">
        <w:rPr>
          <w:rFonts w:ascii="Calibri" w:hAnsi="Calibri" w:cs="Calibri"/>
          <w:sz w:val="21"/>
          <w:szCs w:val="21"/>
        </w:rPr>
        <w:t xml:space="preserve"> and breakeven inflation rates derived from nominal and inflation-indexed bonds.</w:t>
      </w:r>
    </w:p>
    <w:p w14:paraId="507186AE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Breakeven inflation (spot):</w:t>
      </w:r>
    </w:p>
    <w:p w14:paraId="2E48A17F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π_be(t,n) ≈ i_nominal(t,n) − i_real(t,n)</w:t>
      </w:r>
      <w:r w:rsidRPr="00E43396">
        <w:rPr>
          <w:rFonts w:ascii="Calibri" w:hAnsi="Calibri" w:cs="Calibri"/>
          <w:sz w:val="21"/>
          <w:szCs w:val="21"/>
        </w:rPr>
        <w:br/>
        <w:t>Example: 10-year breakeven = T10YIE</w:t>
      </w:r>
    </w:p>
    <w:p w14:paraId="7437EE26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33684846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5Y5Y Forward inflation:</w:t>
      </w:r>
    </w:p>
    <w:p w14:paraId="4F90F857" w14:textId="77777777" w:rsidR="001F6791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5Y5Y forward rate reflects expected inflation over a 5-year period starting 5 years ahead.</w:t>
      </w:r>
    </w:p>
    <w:p w14:paraId="42A975AE" w14:textId="20B80B29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It is derived from spot rates using no-arbitrage conditions:</w:t>
      </w:r>
    </w:p>
    <w:p w14:paraId="7A145C4A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(1 + i_10)^10 = (1 + i_5)^5 * (1 + f_5y5y)^5</w:t>
      </w:r>
    </w:p>
    <w:p w14:paraId="5175C95B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79B1A6A5" w14:textId="77777777" w:rsidR="001F6791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Approximation:</w:t>
      </w:r>
      <w:r w:rsidRPr="00E43396">
        <w:rPr>
          <w:rFonts w:ascii="Calibri" w:hAnsi="Calibri" w:cs="Calibri"/>
          <w:sz w:val="21"/>
          <w:szCs w:val="21"/>
        </w:rPr>
        <w:br/>
        <w:t xml:space="preserve"> f_5y5y ≈ 2*i_10 − i_5</w:t>
      </w:r>
    </w:p>
    <w:p w14:paraId="7A25790B" w14:textId="57191E71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br/>
        <w:t>More generally, forward rates embed expectations plus risk premia.</w:t>
      </w:r>
    </w:p>
    <w:p w14:paraId="440D869D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3D641DB5" w14:textId="44D482BE" w:rsidR="00D87D80" w:rsidRDefault="00000000" w:rsidP="00D87D80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Arbitrage interpretation:</w:t>
      </w:r>
      <w:r w:rsidRPr="00E43396">
        <w:rPr>
          <w:rFonts w:ascii="Calibri" w:hAnsi="Calibri" w:cs="Calibri"/>
          <w:sz w:val="21"/>
          <w:szCs w:val="21"/>
        </w:rPr>
        <w:br/>
        <w:t>Investors must be indifferent between investing in a 10-year bond or rolling over shorter maturities. This condition ensures consistency between spot and forward rates.</w:t>
      </w:r>
    </w:p>
    <w:p w14:paraId="090E2201" w14:textId="77777777" w:rsidR="00D87D80" w:rsidRPr="00D87D80" w:rsidRDefault="00D87D80" w:rsidP="00D87D80">
      <w:pPr>
        <w:spacing w:after="0"/>
        <w:rPr>
          <w:rFonts w:ascii="Calibri" w:hAnsi="Calibri" w:cs="Calibri"/>
          <w:sz w:val="21"/>
          <w:szCs w:val="21"/>
        </w:rPr>
      </w:pPr>
    </w:p>
    <w:p w14:paraId="71A129BE" w14:textId="12681115" w:rsidR="007A073C" w:rsidRPr="00B40333" w:rsidRDefault="00000000" w:rsidP="00D87D80">
      <w:pPr>
        <w:pStyle w:val="Heading1"/>
        <w:spacing w:before="0"/>
        <w:rPr>
          <w:rFonts w:ascii="Calibri" w:hAnsi="Calibri" w:cs="Calibri"/>
        </w:rPr>
      </w:pPr>
      <w:r w:rsidRPr="00B40333">
        <w:rPr>
          <w:rFonts w:ascii="Calibri" w:hAnsi="Calibri" w:cs="Calibri"/>
        </w:rPr>
        <w:t>9. Monetary Policy Framework: Federal Reserve vs ECB</w:t>
      </w:r>
    </w:p>
    <w:p w14:paraId="4ECB499F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The Federal Reserve and the European Central Bank implement monetary policy using interest rate corridors, but with different institutional designs and operational targets.</w:t>
      </w:r>
    </w:p>
    <w:p w14:paraId="43FA847C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67D42C4E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Federal Reserve (Fed):</w:t>
      </w:r>
    </w:p>
    <w:p w14:paraId="51B49A7B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Federal Funds Rate (market rate)</w:t>
      </w:r>
      <w:r w:rsidRPr="00E43396">
        <w:rPr>
          <w:rFonts w:ascii="Calibri" w:hAnsi="Calibri" w:cs="Calibri"/>
          <w:sz w:val="21"/>
          <w:szCs w:val="21"/>
        </w:rPr>
        <w:br/>
        <w:t>• Corridor system: floor = Interest on Reserve Balances (IORB), ceiling = discount window</w:t>
      </w:r>
      <w:r w:rsidRPr="00E43396">
        <w:rPr>
          <w:rFonts w:ascii="Calibri" w:hAnsi="Calibri" w:cs="Calibri"/>
          <w:sz w:val="21"/>
          <w:szCs w:val="21"/>
        </w:rPr>
        <w:br/>
        <w:t>• Mechanism: Fed steers the market rate within a target range</w:t>
      </w:r>
      <w:r w:rsidRPr="00E43396">
        <w:rPr>
          <w:rFonts w:ascii="Calibri" w:hAnsi="Calibri" w:cs="Calibri"/>
          <w:sz w:val="21"/>
          <w:szCs w:val="21"/>
        </w:rPr>
        <w:br/>
        <w:t>• Framework: dual mandate (inflation + employment)</w:t>
      </w:r>
      <w:r w:rsidRPr="00E43396">
        <w:rPr>
          <w:rFonts w:ascii="Calibri" w:hAnsi="Calibri" w:cs="Calibri"/>
          <w:sz w:val="21"/>
          <w:szCs w:val="21"/>
        </w:rPr>
        <w:br/>
        <w:t>• Market-driven system: interbank market central</w:t>
      </w:r>
    </w:p>
    <w:p w14:paraId="6E8C5636" w14:textId="77777777" w:rsidR="001F6791" w:rsidRPr="00E43396" w:rsidRDefault="001F6791" w:rsidP="001F6791">
      <w:pPr>
        <w:spacing w:after="0"/>
        <w:rPr>
          <w:rFonts w:ascii="Calibri" w:hAnsi="Calibri" w:cs="Calibri"/>
          <w:sz w:val="21"/>
          <w:szCs w:val="21"/>
        </w:rPr>
      </w:pPr>
    </w:p>
    <w:p w14:paraId="18973AFA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European Central Bank (ECB):</w:t>
      </w:r>
    </w:p>
    <w:p w14:paraId="7CBE3792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Target: Short-term money market rate (€STR)</w:t>
      </w:r>
      <w:r w:rsidRPr="00E43396">
        <w:rPr>
          <w:rFonts w:ascii="Calibri" w:hAnsi="Calibri" w:cs="Calibri"/>
          <w:sz w:val="21"/>
          <w:szCs w:val="21"/>
        </w:rPr>
        <w:br/>
        <w:t>• Corridor system: floor = Deposit Facility Rate (DFR), ceiling = Main Refinancing Operations (MRO) / Marginal Lending Facility</w:t>
      </w:r>
      <w:r w:rsidRPr="00E43396">
        <w:rPr>
          <w:rFonts w:ascii="Calibri" w:hAnsi="Calibri" w:cs="Calibri"/>
          <w:sz w:val="21"/>
          <w:szCs w:val="21"/>
        </w:rPr>
        <w:br/>
        <w:t>• Mechanism: ECB directly sets administered rates influencing €STR</w:t>
      </w:r>
      <w:r w:rsidRPr="00E43396">
        <w:rPr>
          <w:rFonts w:ascii="Calibri" w:hAnsi="Calibri" w:cs="Calibri"/>
          <w:sz w:val="21"/>
          <w:szCs w:val="21"/>
        </w:rPr>
        <w:br/>
        <w:t>• Framework: primary mandate = price stability</w:t>
      </w:r>
      <w:r w:rsidRPr="00E43396">
        <w:rPr>
          <w:rFonts w:ascii="Calibri" w:hAnsi="Calibri" w:cs="Calibri"/>
          <w:sz w:val="21"/>
          <w:szCs w:val="21"/>
        </w:rPr>
        <w:br/>
        <w:t>• System more administered than market-driven</w:t>
      </w:r>
    </w:p>
    <w:p w14:paraId="2866E96E" w14:textId="77777777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Key Differences:</w:t>
      </w:r>
    </w:p>
    <w:p w14:paraId="68B02E67" w14:textId="77777777" w:rsidR="007B64F2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t>• Fed targets a market rate; ECB controls administered rates more directly</w:t>
      </w:r>
      <w:r w:rsidRPr="00E43396">
        <w:rPr>
          <w:rFonts w:ascii="Calibri" w:hAnsi="Calibri" w:cs="Calibri"/>
          <w:sz w:val="21"/>
          <w:szCs w:val="21"/>
        </w:rPr>
        <w:br/>
        <w:t>• Fed corridor actively used to steer market equilibrium</w:t>
      </w:r>
      <w:r w:rsidRPr="00E43396">
        <w:rPr>
          <w:rFonts w:ascii="Calibri" w:hAnsi="Calibri" w:cs="Calibri"/>
          <w:sz w:val="21"/>
          <w:szCs w:val="21"/>
        </w:rPr>
        <w:br/>
        <w:t>• ECB floor (DFR) is the dominant anchor for €STR</w:t>
      </w:r>
      <w:r w:rsidRPr="00E43396">
        <w:rPr>
          <w:rFonts w:ascii="Calibri" w:hAnsi="Calibri" w:cs="Calibri"/>
          <w:sz w:val="21"/>
          <w:szCs w:val="21"/>
        </w:rPr>
        <w:br/>
        <w:t>• In the Fed system, arbitrage ensures the federal funds rate stays between IORB and discount rate</w:t>
      </w:r>
      <w:r w:rsidRPr="00E43396">
        <w:rPr>
          <w:rFonts w:ascii="Calibri" w:hAnsi="Calibri" w:cs="Calibri"/>
          <w:sz w:val="21"/>
          <w:szCs w:val="21"/>
        </w:rPr>
        <w:br/>
        <w:t>• In the ECB system, liquidity conditions and facility rates dominate short-term rate formation</w:t>
      </w:r>
    </w:p>
    <w:p w14:paraId="57DEEC2E" w14:textId="4B146695" w:rsidR="007A073C" w:rsidRPr="00E43396" w:rsidRDefault="00000000" w:rsidP="001F6791">
      <w:pPr>
        <w:spacing w:after="0"/>
        <w:rPr>
          <w:rFonts w:ascii="Calibri" w:hAnsi="Calibri" w:cs="Calibri"/>
          <w:sz w:val="21"/>
          <w:szCs w:val="21"/>
        </w:rPr>
      </w:pPr>
      <w:r w:rsidRPr="00E43396">
        <w:rPr>
          <w:rFonts w:ascii="Calibri" w:hAnsi="Calibri" w:cs="Calibri"/>
          <w:sz w:val="21"/>
          <w:szCs w:val="21"/>
        </w:rPr>
        <w:lastRenderedPageBreak/>
        <w:t>Policy Interpretation:</w:t>
      </w:r>
      <w:r w:rsidRPr="00E43396">
        <w:rPr>
          <w:rFonts w:ascii="Calibri" w:hAnsi="Calibri" w:cs="Calibri"/>
          <w:sz w:val="21"/>
          <w:szCs w:val="21"/>
        </w:rPr>
        <w:br/>
        <w:t>The Taylor Rule can be interpreted as a benchmark for the policy stance. In practice, central banks use multiple instruments to align market rates with macroeconomic objectives.</w:t>
      </w:r>
    </w:p>
    <w:sectPr w:rsidR="007A073C" w:rsidRPr="00E43396" w:rsidSect="00E433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6D1FE4"/>
    <w:multiLevelType w:val="hybridMultilevel"/>
    <w:tmpl w:val="641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E4EC9"/>
    <w:multiLevelType w:val="hybridMultilevel"/>
    <w:tmpl w:val="66A4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70A49"/>
    <w:multiLevelType w:val="hybridMultilevel"/>
    <w:tmpl w:val="7A0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03913">
    <w:abstractNumId w:val="8"/>
  </w:num>
  <w:num w:numId="2" w16cid:durableId="1524517247">
    <w:abstractNumId w:val="6"/>
  </w:num>
  <w:num w:numId="3" w16cid:durableId="500704666">
    <w:abstractNumId w:val="5"/>
  </w:num>
  <w:num w:numId="4" w16cid:durableId="1712613071">
    <w:abstractNumId w:val="4"/>
  </w:num>
  <w:num w:numId="5" w16cid:durableId="1516387358">
    <w:abstractNumId w:val="7"/>
  </w:num>
  <w:num w:numId="6" w16cid:durableId="50928362">
    <w:abstractNumId w:val="3"/>
  </w:num>
  <w:num w:numId="7" w16cid:durableId="1250527">
    <w:abstractNumId w:val="2"/>
  </w:num>
  <w:num w:numId="8" w16cid:durableId="2046826821">
    <w:abstractNumId w:val="1"/>
  </w:num>
  <w:num w:numId="9" w16cid:durableId="1055852101">
    <w:abstractNumId w:val="0"/>
  </w:num>
  <w:num w:numId="10" w16cid:durableId="1067610699">
    <w:abstractNumId w:val="10"/>
  </w:num>
  <w:num w:numId="11" w16cid:durableId="1717656094">
    <w:abstractNumId w:val="11"/>
  </w:num>
  <w:num w:numId="12" w16cid:durableId="82628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2C9"/>
    <w:rsid w:val="0015074B"/>
    <w:rsid w:val="001F6791"/>
    <w:rsid w:val="0029639D"/>
    <w:rsid w:val="002B75F2"/>
    <w:rsid w:val="002D6442"/>
    <w:rsid w:val="00326F90"/>
    <w:rsid w:val="003C7807"/>
    <w:rsid w:val="003D671D"/>
    <w:rsid w:val="005000EF"/>
    <w:rsid w:val="00545E3B"/>
    <w:rsid w:val="005D11BE"/>
    <w:rsid w:val="00667530"/>
    <w:rsid w:val="00755282"/>
    <w:rsid w:val="00794CD8"/>
    <w:rsid w:val="007A073C"/>
    <w:rsid w:val="007B64F2"/>
    <w:rsid w:val="008156FC"/>
    <w:rsid w:val="0082665F"/>
    <w:rsid w:val="00841D2F"/>
    <w:rsid w:val="009E14B0"/>
    <w:rsid w:val="00AA1D8D"/>
    <w:rsid w:val="00B40333"/>
    <w:rsid w:val="00B47730"/>
    <w:rsid w:val="00CB0664"/>
    <w:rsid w:val="00D87D80"/>
    <w:rsid w:val="00E43396"/>
    <w:rsid w:val="00E6559B"/>
    <w:rsid w:val="00FC693F"/>
    <w:rsid w:val="00FE7EB2"/>
    <w:rsid w:val="00F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8B7077"/>
  <w15:docId w15:val="{9836DAE0-21EF-1242-BB97-D47B5041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Lorenzo Mazzolli</cp:lastModifiedBy>
  <cp:revision>4</cp:revision>
  <dcterms:created xsi:type="dcterms:W3CDTF">2026-04-13T17:24:00Z</dcterms:created>
  <dcterms:modified xsi:type="dcterms:W3CDTF">2026-04-13T17:34:00Z</dcterms:modified>
  <cp:category/>
</cp:coreProperties>
</file>