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E3F42" w14:textId="5AF1BEF8" w:rsidR="00400773" w:rsidRPr="0045073E" w:rsidRDefault="00000000" w:rsidP="0045073E">
      <w:pPr>
        <w:pStyle w:val="Title"/>
        <w:spacing w:after="0"/>
        <w:jc w:val="center"/>
        <w:rPr>
          <w:b/>
          <w:bCs/>
          <w:sz w:val="40"/>
          <w:szCs w:val="40"/>
        </w:rPr>
      </w:pPr>
      <w:r w:rsidRPr="0045073E">
        <w:rPr>
          <w:b/>
          <w:bCs/>
          <w:sz w:val="40"/>
          <w:szCs w:val="40"/>
        </w:rPr>
        <w:t>Wages, Income, Labour Share</w:t>
      </w:r>
      <w:r w:rsidR="00CB496D" w:rsidRPr="0045073E">
        <w:rPr>
          <w:b/>
          <w:bCs/>
          <w:sz w:val="40"/>
          <w:szCs w:val="40"/>
        </w:rPr>
        <w:t>,</w:t>
      </w:r>
      <w:r w:rsidRPr="0045073E">
        <w:rPr>
          <w:b/>
          <w:bCs/>
          <w:sz w:val="40"/>
          <w:szCs w:val="40"/>
        </w:rPr>
        <w:t xml:space="preserve"> and Unit Labour Cost Analysis</w:t>
      </w:r>
    </w:p>
    <w:p w14:paraId="03474F2B" w14:textId="490B5EF6" w:rsidR="00165D30" w:rsidRPr="00F278D9" w:rsidRDefault="00883543" w:rsidP="0045073E">
      <w:pPr>
        <w:pStyle w:val="Subtitle"/>
        <w:jc w:val="center"/>
      </w:pPr>
      <w:r>
        <w:t>Model specifications,</w:t>
      </w:r>
      <w:r w:rsidR="00165D30" w:rsidRPr="00BA64D6">
        <w:t xml:space="preserve"> empirical pipeline</w:t>
      </w:r>
      <w:r>
        <w:t>, caveats</w:t>
      </w:r>
    </w:p>
    <w:p w14:paraId="4721099A" w14:textId="77777777" w:rsidR="00400773" w:rsidRPr="00F278D9" w:rsidRDefault="00000000" w:rsidP="00883543">
      <w:pPr>
        <w:pStyle w:val="Heading1"/>
        <w:spacing w:before="0"/>
        <w:rPr>
          <w:rFonts w:ascii="Calibri" w:hAnsi="Calibri" w:cs="Calibri"/>
        </w:rPr>
      </w:pPr>
      <w:r w:rsidRPr="00F278D9">
        <w:rPr>
          <w:rFonts w:ascii="Calibri" w:hAnsi="Calibri" w:cs="Calibri"/>
        </w:rPr>
        <w:t>1. Project Structure</w:t>
      </w:r>
    </w:p>
    <w:p w14:paraId="597A41FE" w14:textId="09CFF382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The workbook is organised into four analytical blocks:</w:t>
      </w:r>
      <w:r w:rsidRPr="00C737CC">
        <w:rPr>
          <w:rFonts w:cs="Calibri"/>
        </w:rPr>
        <w:br/>
        <w:t>1. Wages vs disposable income – Model 1</w:t>
      </w:r>
      <w:r w:rsidRPr="00C737CC">
        <w:rPr>
          <w:rFonts w:cs="Calibri"/>
        </w:rPr>
        <w:br/>
        <w:t>2. Wages vs disposable income – Model 2</w:t>
      </w:r>
      <w:r w:rsidRPr="00C737CC">
        <w:rPr>
          <w:rFonts w:cs="Calibri"/>
        </w:rPr>
        <w:br/>
        <w:t>3. Labour share</w:t>
      </w:r>
      <w:r w:rsidRPr="00C737CC">
        <w:rPr>
          <w:rFonts w:cs="Calibri"/>
        </w:rPr>
        <w:br/>
        <w:t>4. Unit labour cost (ULC)</w:t>
      </w:r>
    </w:p>
    <w:p w14:paraId="0F55761D" w14:textId="77777777" w:rsidR="00B76B10" w:rsidRPr="00C737CC" w:rsidRDefault="00B76B10" w:rsidP="00C737CC">
      <w:pPr>
        <w:spacing w:after="0"/>
        <w:rPr>
          <w:rFonts w:cs="Calibri"/>
        </w:rPr>
      </w:pPr>
    </w:p>
    <w:p w14:paraId="18195DD8" w14:textId="2031E4FD" w:rsidR="00603236" w:rsidRDefault="00000000" w:rsidP="00603236">
      <w:pPr>
        <w:spacing w:after="0"/>
        <w:rPr>
          <w:rFonts w:cs="Calibri"/>
        </w:rPr>
      </w:pPr>
      <w:r w:rsidRPr="00C737CC">
        <w:rPr>
          <w:rFonts w:cs="Calibri"/>
        </w:rPr>
        <w:t>All raw downloads were cleaned and merged into a single analytical database. Intermediate processing sheets were removed where possible, and a Metadata sheet documents source, unit of measure, price base and variable definition for the final variables used in the analysis.</w:t>
      </w:r>
    </w:p>
    <w:p w14:paraId="65771759" w14:textId="77777777" w:rsidR="00883543" w:rsidRDefault="00883543" w:rsidP="00603236">
      <w:pPr>
        <w:spacing w:after="0"/>
        <w:rPr>
          <w:rFonts w:cs="Calibri"/>
        </w:rPr>
      </w:pPr>
    </w:p>
    <w:p w14:paraId="1A7457A5" w14:textId="327FFBCA" w:rsidR="00883543" w:rsidRDefault="00883543" w:rsidP="00603236">
      <w:pPr>
        <w:spacing w:after="0"/>
        <w:rPr>
          <w:rFonts w:cs="Calibri"/>
        </w:rPr>
      </w:pPr>
      <w:r>
        <w:rPr>
          <w:rFonts w:cs="Calibri"/>
        </w:rPr>
        <w:t xml:space="preserve">Country coverage: </w:t>
      </w:r>
      <w:r w:rsidR="00A460D7">
        <w:t>OECD advanced e</w:t>
      </w:r>
      <w:r>
        <w:t>conomies</w:t>
      </w:r>
      <w:r w:rsidRPr="00BA64D6">
        <w:t>, with a focus on Italy</w:t>
      </w:r>
    </w:p>
    <w:p w14:paraId="39078C3B" w14:textId="77777777" w:rsidR="00603236" w:rsidRPr="00603236" w:rsidRDefault="00603236" w:rsidP="00603236">
      <w:pPr>
        <w:spacing w:after="0"/>
        <w:rPr>
          <w:rFonts w:cs="Calibri"/>
        </w:rPr>
      </w:pPr>
    </w:p>
    <w:p w14:paraId="1111C97F" w14:textId="5FBE06D7" w:rsidR="00400773" w:rsidRPr="00957D50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2. Data Sources and Units</w:t>
      </w:r>
    </w:p>
    <w:p w14:paraId="726BDAAF" w14:textId="737ECD75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The project combines OECD datasets with different units and price conventions.</w:t>
      </w:r>
    </w:p>
    <w:p w14:paraId="0BB39037" w14:textId="77777777" w:rsidR="00B76B10" w:rsidRPr="00C737CC" w:rsidRDefault="00B76B10" w:rsidP="00C737CC">
      <w:pPr>
        <w:spacing w:after="0"/>
        <w:rPr>
          <w:rFonts w:cs="Calibri"/>
        </w:rPr>
      </w:pPr>
    </w:p>
    <w:p w14:paraId="2EB16BB4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Main OECD sources:</w:t>
      </w:r>
      <w:r w:rsidRPr="00C737CC">
        <w:rPr>
          <w:rFonts w:cs="Calibri"/>
        </w:rPr>
        <w:br/>
        <w:t>- Annual GDP and components – income approach</w:t>
      </w:r>
      <w:r w:rsidRPr="00C737CC">
        <w:rPr>
          <w:rFonts w:cs="Calibri"/>
        </w:rPr>
        <w:br/>
        <w:t>- Productivity database</w:t>
      </w:r>
      <w:r w:rsidRPr="00C737CC">
        <w:rPr>
          <w:rFonts w:cs="Calibri"/>
        </w:rPr>
        <w:br/>
        <w:t>- Average annual wages</w:t>
      </w:r>
      <w:r w:rsidRPr="00C737CC">
        <w:rPr>
          <w:rFonts w:cs="Calibri"/>
        </w:rPr>
        <w:br/>
        <w:t>- Household indicators dashboard</w:t>
      </w:r>
    </w:p>
    <w:p w14:paraId="22B4787B" w14:textId="77777777" w:rsidR="00B76B10" w:rsidRPr="00C737CC" w:rsidRDefault="00B76B10" w:rsidP="00C737CC">
      <w:pPr>
        <w:spacing w:after="0"/>
        <w:rPr>
          <w:rFonts w:cs="Calibri"/>
        </w:rPr>
      </w:pPr>
    </w:p>
    <w:p w14:paraId="677DA33E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Main units used:</w:t>
      </w:r>
      <w:r w:rsidRPr="00C737CC">
        <w:rPr>
          <w:rFonts w:cs="Calibri"/>
        </w:rPr>
        <w:br/>
        <w:t>- Current prices, USD converted</w:t>
      </w:r>
      <w:r w:rsidRPr="00C737CC">
        <w:rPr>
          <w:rFonts w:cs="Calibri"/>
        </w:rPr>
        <w:br/>
        <w:t>- Current prices (constant converter), reference year 2020</w:t>
      </w:r>
      <w:r w:rsidRPr="00C737CC">
        <w:rPr>
          <w:rFonts w:cs="Calibri"/>
        </w:rPr>
        <w:br/>
        <w:t>- Chain-linked volume index / rebased household income index</w:t>
      </w:r>
      <w:r w:rsidRPr="00C737CC">
        <w:rPr>
          <w:rFonts w:cs="Calibri"/>
        </w:rPr>
        <w:br/>
        <w:t>- PPP-converted average annual wages (FTE)</w:t>
      </w:r>
    </w:p>
    <w:p w14:paraId="3CC68E74" w14:textId="77777777" w:rsidR="00B76B10" w:rsidRPr="00C737CC" w:rsidRDefault="00B76B10" w:rsidP="00C737CC">
      <w:pPr>
        <w:spacing w:after="0"/>
        <w:rPr>
          <w:rFonts w:cs="Calibri"/>
        </w:rPr>
      </w:pPr>
    </w:p>
    <w:p w14:paraId="779027B6" w14:textId="70506494" w:rsidR="00603236" w:rsidRDefault="00000000" w:rsidP="00603236">
      <w:pPr>
        <w:spacing w:after="0"/>
        <w:rPr>
          <w:rFonts w:cs="Calibri"/>
        </w:rPr>
      </w:pPr>
      <w:r w:rsidRPr="00C737CC">
        <w:rPr>
          <w:rFonts w:cs="Calibri"/>
        </w:rPr>
        <w:t>Important distinction:</w:t>
      </w:r>
      <w:r w:rsidRPr="00C737CC">
        <w:rPr>
          <w:rFonts w:cs="Calibri"/>
        </w:rPr>
        <w:br/>
        <w:t>- Variables from the GDP income approach and productivity database were used to build labour share and ULC.</w:t>
      </w:r>
      <w:r w:rsidRPr="00C737CC">
        <w:rPr>
          <w:rFonts w:cs="Calibri"/>
        </w:rPr>
        <w:br/>
        <w:t>- Average annual wages per employee (FTE) and real disposable income per capita come from different OECD datasets and therefore use different built-in deflation conventions. This is expected and does not invalidate the comparison, but it must be treated as a caveat.</w:t>
      </w:r>
    </w:p>
    <w:p w14:paraId="54159ECA" w14:textId="77777777" w:rsidR="00603236" w:rsidRPr="00603236" w:rsidRDefault="00603236" w:rsidP="00603236">
      <w:pPr>
        <w:spacing w:after="0"/>
        <w:rPr>
          <w:rFonts w:cs="Calibri"/>
        </w:rPr>
      </w:pPr>
    </w:p>
    <w:p w14:paraId="5E1D5210" w14:textId="719B8D7F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3</w:t>
      </w:r>
      <w:r w:rsidR="00F278D9">
        <w:t>.</w:t>
      </w:r>
      <w:r w:rsidRPr="00F278D9">
        <w:t xml:space="preserve"> Wages vs Disposable Income – Model 1</w:t>
      </w:r>
    </w:p>
    <w:p w14:paraId="4CCF8F15" w14:textId="33DB53A6" w:rsidR="00B76B10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Model 1 compares real gross disposable income per capita with per-capita labour-income measures derived from the GDP income approach.</w:t>
      </w:r>
    </w:p>
    <w:p w14:paraId="6FE04C10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lastRenderedPageBreak/>
        <w:t>Variables:</w:t>
      </w:r>
      <w:r w:rsidRPr="00C737CC">
        <w:rPr>
          <w:rFonts w:cs="Calibri"/>
        </w:rPr>
        <w:br/>
        <w:t>- Real gross disposable income per capita of households and NPISH (OECD household dashboard, annual index, 2007=100)</w:t>
      </w:r>
      <w:r w:rsidRPr="00C737CC">
        <w:rPr>
          <w:rFonts w:cs="Calibri"/>
        </w:rPr>
        <w:br/>
        <w:t>- Compensation of employees per capita</w:t>
      </w:r>
      <w:r w:rsidRPr="00C737CC">
        <w:rPr>
          <w:rFonts w:cs="Calibri"/>
        </w:rPr>
        <w:br/>
        <w:t>- Wages and salaries per capita</w:t>
      </w:r>
      <w:r w:rsidRPr="00C737CC">
        <w:rPr>
          <w:rFonts w:cs="Calibri"/>
        </w:rPr>
        <w:br/>
        <w:t>- Employers' social contributions per capita</w:t>
      </w:r>
    </w:p>
    <w:p w14:paraId="0E93EC49" w14:textId="77777777" w:rsidR="00B76B10" w:rsidRPr="00C737CC" w:rsidRDefault="00B76B10" w:rsidP="00C737CC">
      <w:pPr>
        <w:spacing w:after="0"/>
        <w:rPr>
          <w:rFonts w:cs="Calibri"/>
        </w:rPr>
      </w:pPr>
    </w:p>
    <w:p w14:paraId="0AD30457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Construction:</w:t>
      </w:r>
      <w:r w:rsidRPr="00C737CC">
        <w:rPr>
          <w:rFonts w:cs="Calibri"/>
        </w:rPr>
        <w:br/>
        <w:t>- Compensation of employees per capita = COE / Population</w:t>
      </w:r>
      <w:r w:rsidRPr="00C737CC">
        <w:rPr>
          <w:rFonts w:cs="Calibri"/>
        </w:rPr>
        <w:br/>
        <w:t>- Wages and salaries per capita = Wages and salaries / Population</w:t>
      </w:r>
      <w:r w:rsidRPr="00C737CC">
        <w:rPr>
          <w:rFonts w:cs="Calibri"/>
        </w:rPr>
        <w:br/>
        <w:t>- Employers' social contributions per capita = Employers' social contributions / Population</w:t>
      </w:r>
    </w:p>
    <w:p w14:paraId="5C5A4144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For comparability with the household income series, all labour-income-per-capita series were rebased to the same starting year used in the comparison chart (2007=100 in the annual series).</w:t>
      </w:r>
    </w:p>
    <w:p w14:paraId="572E0B73" w14:textId="77777777" w:rsidR="00B76B10" w:rsidRPr="00C737CC" w:rsidRDefault="00B76B10" w:rsidP="00C737CC">
      <w:pPr>
        <w:spacing w:after="0"/>
        <w:rPr>
          <w:rFonts w:cs="Calibri"/>
        </w:rPr>
      </w:pPr>
    </w:p>
    <w:p w14:paraId="0D86A85F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Purpose of Model 1:</w:t>
      </w:r>
      <w:r w:rsidRPr="00C737CC">
        <w:rPr>
          <w:rFonts w:cs="Calibri"/>
        </w:rPr>
        <w:br/>
        <w:t>- compare household disposable income with labour-income aggregates expressed per capita</w:t>
      </w:r>
      <w:r w:rsidRPr="00C737CC">
        <w:rPr>
          <w:rFonts w:cs="Calibri"/>
        </w:rPr>
        <w:br/>
        <w:t>- evaluate whether labour-income growth is matched by disposable income growth at the population level</w:t>
      </w:r>
    </w:p>
    <w:p w14:paraId="15A90C9A" w14:textId="77777777" w:rsidR="00B76B10" w:rsidRPr="00C737CC" w:rsidRDefault="00B76B10" w:rsidP="00C737CC">
      <w:pPr>
        <w:spacing w:after="0"/>
        <w:rPr>
          <w:rFonts w:cs="Calibri"/>
        </w:rPr>
      </w:pPr>
    </w:p>
    <w:p w14:paraId="01F5EFC0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Interpretation:</w:t>
      </w:r>
      <w:r w:rsidRPr="00C737CC">
        <w:rPr>
          <w:rFonts w:cs="Calibri"/>
        </w:rPr>
        <w:br/>
        <w:t>- this is a population-based comparison</w:t>
      </w:r>
      <w:r w:rsidRPr="00C737CC">
        <w:rPr>
          <w:rFonts w:cs="Calibri"/>
        </w:rPr>
        <w:br/>
        <w:t>- it is suitable for broad household-income analysis, not for wage-setting or productivity analysis</w:t>
      </w:r>
    </w:p>
    <w:p w14:paraId="0BA9C77C" w14:textId="77777777" w:rsidR="00B76B10" w:rsidRPr="00C737CC" w:rsidRDefault="00B76B10" w:rsidP="00C737CC">
      <w:pPr>
        <w:spacing w:after="0"/>
        <w:rPr>
          <w:rFonts w:cs="Calibri"/>
        </w:rPr>
      </w:pPr>
    </w:p>
    <w:p w14:paraId="07BB7A76" w14:textId="5C79897E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Main caveat:</w:t>
      </w:r>
      <w:r w:rsidRPr="00C737CC">
        <w:rPr>
          <w:rFonts w:cs="Calibri"/>
        </w:rPr>
        <w:br/>
        <w:t>- disposable income is a household-sector concept, while labour-income aggregates are national-accounts labour-compensation concepts</w:t>
      </w:r>
      <w:r w:rsidRPr="00C737CC">
        <w:rPr>
          <w:rFonts w:cs="Calibri"/>
        </w:rPr>
        <w:br/>
        <w:t>- different implicit deflators are embedded in the source series</w:t>
      </w:r>
    </w:p>
    <w:p w14:paraId="38CDCF65" w14:textId="77777777" w:rsidR="00603236" w:rsidRDefault="00603236" w:rsidP="005D274D">
      <w:pPr>
        <w:spacing w:after="0"/>
        <w:rPr>
          <w:rFonts w:cs="Calibri"/>
        </w:rPr>
      </w:pPr>
    </w:p>
    <w:p w14:paraId="0C8B8B8D" w14:textId="4CFC57A7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4. Wages vs Disposable Income – Model 2</w:t>
      </w:r>
    </w:p>
    <w:p w14:paraId="60755C3D" w14:textId="156185BC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Model 2 compares real disposable income per capita with wage measures expressed per employee, including the OECD average annual wage (FTE) series.</w:t>
      </w:r>
    </w:p>
    <w:p w14:paraId="4AA13280" w14:textId="77777777" w:rsidR="00B76B10" w:rsidRPr="00C737CC" w:rsidRDefault="00B76B10" w:rsidP="00C737CC">
      <w:pPr>
        <w:spacing w:after="0"/>
        <w:rPr>
          <w:rFonts w:cs="Calibri"/>
        </w:rPr>
      </w:pPr>
    </w:p>
    <w:p w14:paraId="11607CF6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Variables:</w:t>
      </w:r>
      <w:r w:rsidRPr="00C737CC">
        <w:rPr>
          <w:rFonts w:cs="Calibri"/>
        </w:rPr>
        <w:br/>
        <w:t>- Average annual wages per employee (FTE)</w:t>
      </w:r>
      <w:r w:rsidRPr="00C737CC">
        <w:rPr>
          <w:rFonts w:cs="Calibri"/>
        </w:rPr>
        <w:br/>
        <w:t>- Compensation of employees</w:t>
      </w:r>
      <w:r w:rsidRPr="00C737CC">
        <w:rPr>
          <w:rFonts w:cs="Calibri"/>
        </w:rPr>
        <w:br/>
        <w:t>- Wages and salaries</w:t>
      </w:r>
      <w:r w:rsidRPr="00C737CC">
        <w:rPr>
          <w:rFonts w:cs="Calibri"/>
        </w:rPr>
        <w:br/>
        <w:t>- Employment</w:t>
      </w:r>
      <w:r w:rsidRPr="00C737CC">
        <w:rPr>
          <w:rFonts w:cs="Calibri"/>
        </w:rPr>
        <w:br/>
        <w:t>- Number of employees</w:t>
      </w:r>
      <w:r w:rsidRPr="00C737CC">
        <w:rPr>
          <w:rFonts w:cs="Calibri"/>
        </w:rPr>
        <w:br/>
        <w:t>- Population</w:t>
      </w:r>
      <w:r w:rsidRPr="00C737CC">
        <w:rPr>
          <w:rFonts w:cs="Calibri"/>
        </w:rPr>
        <w:br/>
        <w:t>- Real gross disposable income per capita of households and NPISH</w:t>
      </w:r>
    </w:p>
    <w:p w14:paraId="1E6730CA" w14:textId="77777777" w:rsidR="00B76B10" w:rsidRPr="00C737CC" w:rsidRDefault="00B76B10" w:rsidP="00C737CC">
      <w:pPr>
        <w:spacing w:after="0"/>
        <w:rPr>
          <w:rFonts w:cs="Calibri"/>
        </w:rPr>
      </w:pPr>
    </w:p>
    <w:p w14:paraId="3DA692F4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Core constructions:</w:t>
      </w:r>
      <w:r w:rsidRPr="00C737CC">
        <w:rPr>
          <w:rFonts w:cs="Calibri"/>
        </w:rPr>
        <w:br/>
        <w:t>- Compensation of employees per employee = COE / Number of employees</w:t>
      </w:r>
      <w:r w:rsidRPr="00C737CC">
        <w:rPr>
          <w:rFonts w:cs="Calibri"/>
        </w:rPr>
        <w:br/>
        <w:t>- Wages and salaries per employee = Wages and salaries / Number of employees</w:t>
      </w:r>
      <w:r w:rsidRPr="00C737CC">
        <w:rPr>
          <w:rFonts w:cs="Calibri"/>
        </w:rPr>
        <w:br/>
      </w:r>
      <w:r w:rsidRPr="00C737CC">
        <w:rPr>
          <w:rFonts w:cs="Calibri"/>
        </w:rPr>
        <w:lastRenderedPageBreak/>
        <w:t>- Average annual wages per employee (FTE) = OECD direct series</w:t>
      </w:r>
      <w:r w:rsidRPr="00C737CC">
        <w:rPr>
          <w:rFonts w:cs="Calibri"/>
        </w:rPr>
        <w:br/>
        <w:t>- Employment-to-population ratio = Employment / Population</w:t>
      </w:r>
      <w:r w:rsidRPr="00C737CC">
        <w:rPr>
          <w:rFonts w:cs="Calibri"/>
        </w:rPr>
        <w:br/>
        <w:t>- Employees-to-population ratio = Number of employees / Population</w:t>
      </w:r>
    </w:p>
    <w:p w14:paraId="3B364D41" w14:textId="77777777" w:rsidR="00B76B10" w:rsidRPr="00C737CC" w:rsidRDefault="00B76B10" w:rsidP="00C737CC">
      <w:pPr>
        <w:spacing w:after="0"/>
        <w:rPr>
          <w:rFonts w:cs="Calibri"/>
        </w:rPr>
      </w:pPr>
    </w:p>
    <w:p w14:paraId="3A606D36" w14:textId="77C77DE9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This block was used to distinguish:</w:t>
      </w:r>
      <w:r w:rsidRPr="00C737CC">
        <w:rPr>
          <w:rFonts w:cs="Calibri"/>
        </w:rPr>
        <w:br/>
        <w:t>- FTE-based wage dynamics (OECD average annual wages)</w:t>
      </w:r>
      <w:r w:rsidRPr="00C737CC">
        <w:rPr>
          <w:rFonts w:cs="Calibri"/>
        </w:rPr>
        <w:br/>
        <w:t>- non-FTE employee-based labour compensation measures from national accounts</w:t>
      </w:r>
      <w:r w:rsidRPr="00C737CC">
        <w:rPr>
          <w:rFonts w:cs="Calibri"/>
        </w:rPr>
        <w:br/>
        <w:t>- the difference between worker-based and per-capita concepts</w:t>
      </w:r>
    </w:p>
    <w:p w14:paraId="531910BF" w14:textId="77777777" w:rsidR="00B76B10" w:rsidRPr="00C737CC" w:rsidRDefault="00B76B10" w:rsidP="00C737CC">
      <w:pPr>
        <w:spacing w:after="0"/>
        <w:rPr>
          <w:rFonts w:cs="Calibri"/>
        </w:rPr>
      </w:pPr>
    </w:p>
    <w:p w14:paraId="204A90E7" w14:textId="2D3E88F6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Purpose of Model 2:</w:t>
      </w:r>
      <w:r w:rsidRPr="00C737CC">
        <w:rPr>
          <w:rFonts w:cs="Calibri"/>
        </w:rPr>
        <w:br/>
        <w:t>- compare wage dynamics at the employee level with disposable income dynamics at the household/population level</w:t>
      </w:r>
      <w:r w:rsidRPr="00C737CC">
        <w:rPr>
          <w:rFonts w:cs="Calibri"/>
        </w:rPr>
        <w:br/>
        <w:t>- show how different denominators affect interpretation</w:t>
      </w:r>
    </w:p>
    <w:p w14:paraId="4F0D5997" w14:textId="77777777" w:rsidR="00B76B10" w:rsidRPr="00C737CC" w:rsidRDefault="00B76B10" w:rsidP="00C737CC">
      <w:pPr>
        <w:spacing w:after="0"/>
        <w:rPr>
          <w:rFonts w:cs="Calibri"/>
        </w:rPr>
      </w:pPr>
    </w:p>
    <w:p w14:paraId="336ADB69" w14:textId="4A9A3945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Main caveats:</w:t>
      </w:r>
      <w:r w:rsidRPr="00C737CC">
        <w:rPr>
          <w:rFonts w:cs="Calibri"/>
        </w:rPr>
        <w:br/>
        <w:t>- average annual wages per employee (FTE) are PPP-converted and deflated using the private consumption price framework built into the OECD wages dataset</w:t>
      </w:r>
      <w:r w:rsidRPr="00C737CC">
        <w:rPr>
          <w:rFonts w:cs="Calibri"/>
        </w:rPr>
        <w:br/>
        <w:t>- disposable income per capita is a chain-linked household-income index</w:t>
      </w:r>
      <w:r w:rsidRPr="00C737CC">
        <w:rPr>
          <w:rFonts w:cs="Calibri"/>
        </w:rPr>
        <w:br/>
        <w:t>- therefore, Model 2 is best interpreted as a structured comparison of concepts, not as an accounting identity</w:t>
      </w:r>
    </w:p>
    <w:p w14:paraId="5C350C71" w14:textId="77777777" w:rsidR="00603236" w:rsidRDefault="00603236" w:rsidP="005D274D">
      <w:pPr>
        <w:spacing w:after="0"/>
        <w:rPr>
          <w:rFonts w:cs="Calibri"/>
        </w:rPr>
      </w:pPr>
    </w:p>
    <w:p w14:paraId="5A863655" w14:textId="6389AAD0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5. Labour Share</w:t>
      </w:r>
    </w:p>
    <w:p w14:paraId="69DF4952" w14:textId="54765421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Labour share is defined as:</w:t>
      </w:r>
    </w:p>
    <w:p w14:paraId="360CC4F4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LS = COE_nominal / GDP_nominal</w:t>
      </w:r>
    </w:p>
    <w:p w14:paraId="498FDDC6" w14:textId="77777777" w:rsidR="00B76B10" w:rsidRPr="00C737CC" w:rsidRDefault="00B76B10" w:rsidP="00C737CC">
      <w:pPr>
        <w:spacing w:after="0"/>
        <w:rPr>
          <w:rFonts w:cs="Calibri"/>
        </w:rPr>
      </w:pPr>
    </w:p>
    <w:p w14:paraId="22EC8947" w14:textId="6C4FB998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This is the benchmark distributional measure in the project.</w:t>
      </w:r>
    </w:p>
    <w:p w14:paraId="675B2AF4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A second indicator is also used:</w:t>
      </w:r>
      <w:r w:rsidRPr="00C737CC">
        <w:rPr>
          <w:rFonts w:cs="Calibri"/>
        </w:rPr>
        <w:br/>
        <w:t>- Wage share = Wages and salaries / GDP</w:t>
      </w:r>
    </w:p>
    <w:p w14:paraId="27580C22" w14:textId="77777777" w:rsidR="00B76B10" w:rsidRPr="00C737CC" w:rsidRDefault="00B76B10" w:rsidP="00C737CC">
      <w:pPr>
        <w:spacing w:after="0"/>
        <w:rPr>
          <w:rFonts w:cs="Calibri"/>
        </w:rPr>
      </w:pPr>
    </w:p>
    <w:p w14:paraId="61883EC0" w14:textId="77777777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These series are analysed in levels and in base-year indices to evaluate whether labour's share in output is stable, declining or recovering over time.</w:t>
      </w:r>
    </w:p>
    <w:p w14:paraId="134FFB62" w14:textId="77777777" w:rsidR="005D274D" w:rsidRDefault="005D274D" w:rsidP="005D274D">
      <w:pPr>
        <w:spacing w:after="0"/>
        <w:rPr>
          <w:rFonts w:cs="Calibri"/>
        </w:rPr>
      </w:pPr>
    </w:p>
    <w:p w14:paraId="1EA0C29F" w14:textId="42DC2A4F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6. Labour Share Decomposition</w:t>
      </w:r>
    </w:p>
    <w:p w14:paraId="185718B1" w14:textId="77D63A8E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Labour share is decomposed as:</w:t>
      </w:r>
    </w:p>
    <w:p w14:paraId="605B0A5A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LS = [(COE / E) / (GDP / L)] × (E / L)</w:t>
      </w:r>
    </w:p>
    <w:p w14:paraId="534867B9" w14:textId="77777777" w:rsidR="00B76B10" w:rsidRPr="00C737CC" w:rsidRDefault="00B76B10" w:rsidP="00C737CC">
      <w:pPr>
        <w:spacing w:after="0"/>
        <w:rPr>
          <w:rFonts w:cs="Calibri"/>
        </w:rPr>
      </w:pPr>
    </w:p>
    <w:p w14:paraId="78BBF581" w14:textId="56F09A65" w:rsidR="00B76B10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Where:</w:t>
      </w:r>
      <w:r w:rsidRPr="00C737CC">
        <w:rPr>
          <w:rFonts w:cs="Calibri"/>
        </w:rPr>
        <w:br/>
        <w:t>- E = Number of employees</w:t>
      </w:r>
      <w:r w:rsidRPr="00C737CC">
        <w:rPr>
          <w:rFonts w:cs="Calibri"/>
        </w:rPr>
        <w:br/>
        <w:t>- L = Total employment</w:t>
      </w:r>
      <w:r w:rsidRPr="00C737CC">
        <w:rPr>
          <w:rFonts w:cs="Calibri"/>
        </w:rPr>
        <w:br/>
        <w:t xml:space="preserve">- (COE/E) / (GDP/L) = </w:t>
      </w:r>
      <w:r w:rsidR="008D3FCE" w:rsidRPr="00C737CC">
        <w:rPr>
          <w:rFonts w:cs="Calibri"/>
        </w:rPr>
        <w:t>c</w:t>
      </w:r>
      <w:r w:rsidRPr="00C737CC">
        <w:rPr>
          <w:rFonts w:cs="Calibri"/>
        </w:rPr>
        <w:t>ompe</w:t>
      </w:r>
      <w:r w:rsidR="008D3FCE" w:rsidRPr="00C737CC">
        <w:rPr>
          <w:rFonts w:cs="Calibri"/>
        </w:rPr>
        <w:t>n</w:t>
      </w:r>
      <w:r w:rsidRPr="00C737CC">
        <w:rPr>
          <w:rFonts w:cs="Calibri"/>
        </w:rPr>
        <w:t>sation-to-productivity ratio</w:t>
      </w:r>
      <w:r w:rsidRPr="00C737CC">
        <w:rPr>
          <w:rFonts w:cs="Calibri"/>
        </w:rPr>
        <w:br/>
        <w:t>- E/L = employees-to-employment ratio (employment composition term)</w:t>
      </w:r>
    </w:p>
    <w:p w14:paraId="326CF942" w14:textId="1450BEFF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This decomposition explicitly handles the employee versus employed denominator mismatch.</w:t>
      </w:r>
    </w:p>
    <w:p w14:paraId="1C1A44EC" w14:textId="77777777" w:rsidR="00B76B10" w:rsidRPr="00C737CC" w:rsidRDefault="00B76B10" w:rsidP="00C737CC">
      <w:pPr>
        <w:spacing w:after="0"/>
        <w:rPr>
          <w:rFonts w:cs="Calibri"/>
        </w:rPr>
      </w:pPr>
    </w:p>
    <w:p w14:paraId="19A32EFF" w14:textId="5DC650E5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lastRenderedPageBreak/>
        <w:t>Two types of variation are used:</w:t>
      </w:r>
      <w:r w:rsidRPr="00C737CC">
        <w:rPr>
          <w:rFonts w:cs="Calibri"/>
        </w:rPr>
        <w:br/>
        <w:t>1. Absolute difference in levels:</w:t>
      </w:r>
      <w:r w:rsidRPr="00C737CC">
        <w:rPr>
          <w:rFonts w:cs="Calibri"/>
        </w:rPr>
        <w:br/>
        <w:t xml:space="preserve">   ΔLS = LS_t − LS_(t−1)</w:t>
      </w:r>
    </w:p>
    <w:p w14:paraId="244EB432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2. Log change:</w:t>
      </w:r>
      <w:r w:rsidRPr="00C737CC">
        <w:rPr>
          <w:rFonts w:cs="Calibri"/>
        </w:rPr>
        <w:br/>
        <w:t xml:space="preserve">   Δln(LS) = Δln(compensation-to-productivity ratio) + Δln(E/L)</w:t>
      </w:r>
    </w:p>
    <w:p w14:paraId="2F6DC4F0" w14:textId="77777777" w:rsidR="00B76B10" w:rsidRPr="00C737CC" w:rsidRDefault="00B76B10" w:rsidP="00C737CC">
      <w:pPr>
        <w:spacing w:after="0"/>
        <w:rPr>
          <w:rFonts w:cs="Calibri"/>
        </w:rPr>
      </w:pPr>
    </w:p>
    <w:p w14:paraId="1123C04D" w14:textId="77777777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Use of each method:</w:t>
      </w:r>
      <w:r w:rsidRPr="00C737CC">
        <w:rPr>
          <w:rFonts w:cs="Calibri"/>
        </w:rPr>
        <w:br/>
        <w:t>- level differences are used when interpretation is needed in percentage points</w:t>
      </w:r>
      <w:r w:rsidRPr="00C737CC">
        <w:rPr>
          <w:rFonts w:cs="Calibri"/>
        </w:rPr>
        <w:br/>
        <w:t>- log changes are used when additive decomposition is required</w:t>
      </w:r>
    </w:p>
    <w:p w14:paraId="25B2231E" w14:textId="77777777" w:rsidR="005D274D" w:rsidRDefault="005D274D" w:rsidP="005D274D">
      <w:pPr>
        <w:spacing w:after="0"/>
        <w:rPr>
          <w:rFonts w:cs="Calibri"/>
        </w:rPr>
      </w:pPr>
    </w:p>
    <w:p w14:paraId="5C1F8757" w14:textId="2394FCC7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7. Unit Labour Cost (ULC)</w:t>
      </w:r>
    </w:p>
    <w:p w14:paraId="4097FA95" w14:textId="2128FB10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ULC is defined using the OECD-compatible nominal-over-real structure:</w:t>
      </w:r>
    </w:p>
    <w:p w14:paraId="21750823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ULC = COE_nominal / GDP_real</w:t>
      </w:r>
    </w:p>
    <w:p w14:paraId="5E35E935" w14:textId="77777777" w:rsidR="00B76B10" w:rsidRPr="00C737CC" w:rsidRDefault="00B76B10" w:rsidP="00C737CC">
      <w:pPr>
        <w:spacing w:after="0"/>
        <w:rPr>
          <w:rFonts w:cs="Calibri"/>
        </w:rPr>
      </w:pPr>
    </w:p>
    <w:p w14:paraId="21C5F0AC" w14:textId="7BC56162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where GDP_real is the constant-2020 converted GDP series.</w:t>
      </w:r>
    </w:p>
    <w:p w14:paraId="4A0721C5" w14:textId="77777777" w:rsidR="00B76B10" w:rsidRPr="00C737CC" w:rsidRDefault="00B76B10" w:rsidP="00C737CC">
      <w:pPr>
        <w:spacing w:after="0"/>
        <w:rPr>
          <w:rFonts w:cs="Calibri"/>
        </w:rPr>
      </w:pPr>
    </w:p>
    <w:p w14:paraId="41AEB4AD" w14:textId="4063A6E9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This corresponds to the nominal unit labour cost concept:</w:t>
      </w:r>
      <w:r w:rsidRPr="00C737CC">
        <w:rPr>
          <w:rFonts w:cs="Calibri"/>
        </w:rPr>
        <w:br/>
        <w:t>- labour cost in nominal terms</w:t>
      </w:r>
      <w:r w:rsidRPr="00C737CC">
        <w:rPr>
          <w:rFonts w:cs="Calibri"/>
        </w:rPr>
        <w:br/>
        <w:t>- output in real terms</w:t>
      </w:r>
    </w:p>
    <w:p w14:paraId="44A7FDEE" w14:textId="77777777" w:rsidR="00B76B10" w:rsidRPr="00C737CC" w:rsidRDefault="00B76B10" w:rsidP="00C737CC">
      <w:pPr>
        <w:spacing w:after="0"/>
        <w:rPr>
          <w:rFonts w:cs="Calibri"/>
        </w:rPr>
      </w:pPr>
    </w:p>
    <w:p w14:paraId="50C5CA2B" w14:textId="7A2B239D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ULC is therefore interpreted as labour cost per unit of real output, not as a pure distributional measure.</w:t>
      </w:r>
    </w:p>
    <w:p w14:paraId="435FCFD3" w14:textId="77777777" w:rsidR="00603236" w:rsidRDefault="00603236" w:rsidP="005D274D">
      <w:pPr>
        <w:spacing w:after="0"/>
        <w:rPr>
          <w:rFonts w:cs="Calibri"/>
        </w:rPr>
      </w:pPr>
    </w:p>
    <w:p w14:paraId="1151C364" w14:textId="1D6F4564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8. ULC Decomposition</w:t>
      </w:r>
    </w:p>
    <w:p w14:paraId="08C18A67" w14:textId="554072CA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ULC is linked to labour share through the identity:</w:t>
      </w:r>
    </w:p>
    <w:p w14:paraId="5285735E" w14:textId="77777777" w:rsidR="00B76B10" w:rsidRPr="00C737CC" w:rsidRDefault="00B76B10" w:rsidP="00C737CC">
      <w:pPr>
        <w:spacing w:after="0"/>
        <w:rPr>
          <w:rFonts w:cs="Calibri"/>
        </w:rPr>
      </w:pPr>
    </w:p>
    <w:p w14:paraId="2D05189C" w14:textId="55A23968" w:rsidR="00B76B10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ULC = LS × (GDP_nominal / GDP_real)</w:t>
      </w:r>
    </w:p>
    <w:p w14:paraId="0838D117" w14:textId="05948027" w:rsidR="008D3FCE" w:rsidRPr="00C737CC" w:rsidRDefault="008D3FCE" w:rsidP="00C737CC">
      <w:pPr>
        <w:spacing w:after="0"/>
        <w:rPr>
          <w:rFonts w:cs="Calibri"/>
        </w:rPr>
      </w:pPr>
      <w:r w:rsidRPr="00C737CC">
        <w:rPr>
          <w:rFonts w:cs="Calibri"/>
        </w:rPr>
        <w:t xml:space="preserve">or: </w:t>
      </w:r>
    </w:p>
    <w:p w14:paraId="1306C3DC" w14:textId="77777777" w:rsidR="00B76B10" w:rsidRPr="00C737CC" w:rsidRDefault="00B76B10" w:rsidP="00C737CC">
      <w:pPr>
        <w:spacing w:after="0"/>
        <w:rPr>
          <w:rFonts w:cs="Calibri"/>
        </w:rPr>
      </w:pPr>
    </w:p>
    <w:p w14:paraId="1315D3CC" w14:textId="64A7C393" w:rsidR="008D3FCE" w:rsidRPr="00C737CC" w:rsidRDefault="008D3FCE" w:rsidP="00C737CC">
      <w:pPr>
        <w:spacing w:after="0"/>
        <w:rPr>
          <w:rFonts w:cs="Calibri"/>
        </w:rPr>
      </w:pPr>
      <w:r w:rsidRPr="00C737CC">
        <w:rPr>
          <w:rFonts w:cs="Calibri"/>
        </w:rPr>
        <w:t>ULC= (COE_nominal/E) / (GDP_real/L)</w:t>
      </w:r>
    </w:p>
    <w:p w14:paraId="5D33555E" w14:textId="7777777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In the workbook, the term GDP_nominal / GDP_real is treated as an implicit nominal-to-real ratio.</w:t>
      </w:r>
    </w:p>
    <w:p w14:paraId="57141182" w14:textId="77777777" w:rsidR="00B76B10" w:rsidRPr="00C737CC" w:rsidRDefault="00B76B10" w:rsidP="00C737CC">
      <w:pPr>
        <w:spacing w:after="0"/>
        <w:rPr>
          <w:rFonts w:cs="Calibri"/>
        </w:rPr>
      </w:pPr>
    </w:p>
    <w:p w14:paraId="155ED75C" w14:textId="378DD43E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Because the numerator of ULC is nominal and the denominator is real, this term is not treated as a standalone pure price index in the final charts.</w:t>
      </w:r>
    </w:p>
    <w:p w14:paraId="22F3BE3E" w14:textId="77777777" w:rsidR="00B76B10" w:rsidRPr="00C737CC" w:rsidRDefault="00B76B10" w:rsidP="00C737CC">
      <w:pPr>
        <w:spacing w:after="0"/>
        <w:rPr>
          <w:rFonts w:cs="Calibri"/>
        </w:rPr>
      </w:pPr>
    </w:p>
    <w:p w14:paraId="0F9C4FE6" w14:textId="4DB4A07A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The analytical focus remains on:</w:t>
      </w:r>
      <w:r w:rsidRPr="00C737CC">
        <w:rPr>
          <w:rFonts w:cs="Calibri"/>
        </w:rPr>
        <w:br/>
        <w:t>- the ULC level and index</w:t>
      </w:r>
      <w:r w:rsidRPr="00C737CC">
        <w:rPr>
          <w:rFonts w:cs="Calibri"/>
        </w:rPr>
        <w:br/>
        <w:t>- the comparison between ULC and labour share</w:t>
      </w:r>
      <w:r w:rsidRPr="00C737CC">
        <w:rPr>
          <w:rFonts w:cs="Calibri"/>
        </w:rPr>
        <w:br/>
        <w:t>- the contrast between cost competitiveness dynamics and distributional dynamics</w:t>
      </w:r>
    </w:p>
    <w:p w14:paraId="51DE6AE0" w14:textId="77777777" w:rsidR="00603236" w:rsidRDefault="00603236" w:rsidP="005D274D">
      <w:pPr>
        <w:spacing w:after="0"/>
        <w:rPr>
          <w:rFonts w:cs="Calibri"/>
        </w:rPr>
      </w:pPr>
    </w:p>
    <w:p w14:paraId="7E3459F5" w14:textId="16387990" w:rsidR="00B76B10" w:rsidRPr="00C737CC" w:rsidRDefault="00000000" w:rsidP="005D274D">
      <w:pPr>
        <w:pStyle w:val="Heading1"/>
        <w:spacing w:before="0"/>
      </w:pPr>
      <w:r w:rsidRPr="00F278D9">
        <w:t>9. Real vs Nominal Consistency</w:t>
      </w:r>
    </w:p>
    <w:p w14:paraId="092A99EE" w14:textId="1309E8CA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For the GDP income approach block:</w:t>
      </w:r>
      <w:r w:rsidRPr="00C737CC">
        <w:rPr>
          <w:rFonts w:cs="Calibri"/>
        </w:rPr>
        <w:br/>
        <w:t>- GDP nominal and GDP constant-converter series are internally consistent</w:t>
      </w:r>
      <w:r w:rsidRPr="00C737CC">
        <w:rPr>
          <w:rFonts w:cs="Calibri"/>
        </w:rPr>
        <w:br/>
      </w:r>
      <w:r w:rsidRPr="00C737CC">
        <w:rPr>
          <w:rFonts w:cs="Calibri"/>
        </w:rPr>
        <w:lastRenderedPageBreak/>
        <w:t>- COE nominal and COE constant-converter series are internally consistent</w:t>
      </w:r>
      <w:r w:rsidRPr="00C737CC">
        <w:rPr>
          <w:rFonts w:cs="Calibri"/>
        </w:rPr>
        <w:br/>
        <w:t>- the implied nominal/constant ratios coincide across GDP and COE in the OECD source used</w:t>
      </w:r>
    </w:p>
    <w:p w14:paraId="60861614" w14:textId="77777777" w:rsidR="00B76B10" w:rsidRPr="00C737CC" w:rsidRDefault="00B76B10" w:rsidP="00C737CC">
      <w:pPr>
        <w:spacing w:after="0"/>
        <w:rPr>
          <w:rFonts w:cs="Calibri"/>
        </w:rPr>
      </w:pPr>
    </w:p>
    <w:p w14:paraId="425FFA5B" w14:textId="7BD61F92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As a result:</w:t>
      </w:r>
      <w:r w:rsidRPr="00C737CC">
        <w:rPr>
          <w:rFonts w:cs="Calibri"/>
        </w:rPr>
        <w:br/>
        <w:t>- compensation-to-productivity ratios built from the GDP income approach block are internally coherent</w:t>
      </w:r>
      <w:r w:rsidRPr="00C737CC">
        <w:rPr>
          <w:rFonts w:cs="Calibri"/>
        </w:rPr>
        <w:br/>
        <w:t>- labour-share decomposition is robust to the nominal/constant transformation when the same converter framework is used on both numerator and denominator</w:t>
      </w:r>
    </w:p>
    <w:p w14:paraId="7F06770D" w14:textId="77777777" w:rsidR="00B76B10" w:rsidRPr="00C737CC" w:rsidRDefault="00B76B10" w:rsidP="00C737CC">
      <w:pPr>
        <w:spacing w:after="0"/>
        <w:rPr>
          <w:rFonts w:cs="Calibri"/>
        </w:rPr>
      </w:pPr>
    </w:p>
    <w:p w14:paraId="0F3A1F41" w14:textId="77777777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This does not imply that all variables in the workbook use the same deflator.</w:t>
      </w:r>
      <w:r w:rsidRPr="00C737CC">
        <w:rPr>
          <w:rFonts w:cs="Calibri"/>
        </w:rPr>
        <w:br/>
        <w:t>It only applies to the GDP income approach / productivity block.</w:t>
      </w:r>
    </w:p>
    <w:p w14:paraId="46CD3928" w14:textId="77777777" w:rsidR="005D274D" w:rsidRDefault="005D274D" w:rsidP="005D274D">
      <w:pPr>
        <w:spacing w:after="0"/>
        <w:rPr>
          <w:rFonts w:cs="Calibri"/>
        </w:rPr>
      </w:pPr>
    </w:p>
    <w:p w14:paraId="0CB468FF" w14:textId="43CDBCB5" w:rsidR="00B76B10" w:rsidRPr="00C737CC" w:rsidRDefault="00000000" w:rsidP="005D274D">
      <w:pPr>
        <w:pStyle w:val="Heading1"/>
        <w:spacing w:before="0"/>
      </w:pPr>
      <w:r w:rsidRPr="00F278D9">
        <w:t>10. Main Caveats</w:t>
      </w:r>
    </w:p>
    <w:p w14:paraId="5A2B7E5C" w14:textId="46036E89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1. Self-employed income</w:t>
      </w:r>
      <w:r w:rsidRPr="00C737CC">
        <w:rPr>
          <w:rFonts w:cs="Calibri"/>
        </w:rPr>
        <w:br/>
        <w:t>- COE excludes the labour component of mixed income</w:t>
      </w:r>
      <w:r w:rsidRPr="00C737CC">
        <w:rPr>
          <w:rFonts w:cs="Calibri"/>
        </w:rPr>
        <w:br/>
        <w:t>- labour share, wage share and ULC therefore exclude self-employed labour income</w:t>
      </w:r>
    </w:p>
    <w:p w14:paraId="4D4F78FE" w14:textId="77777777" w:rsidR="00B76B10" w:rsidRPr="00C737CC" w:rsidRDefault="00B76B10" w:rsidP="00C737CC">
      <w:pPr>
        <w:spacing w:after="0"/>
        <w:rPr>
          <w:rFonts w:cs="Calibri"/>
        </w:rPr>
      </w:pPr>
    </w:p>
    <w:p w14:paraId="519B7E2A" w14:textId="002CAF58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2. Denominator mismatch</w:t>
      </w:r>
      <w:r w:rsidRPr="00C737CC">
        <w:rPr>
          <w:rFonts w:cs="Calibri"/>
        </w:rPr>
        <w:br/>
        <w:t>- E and L are not the same concept</w:t>
      </w:r>
      <w:r w:rsidRPr="00C737CC">
        <w:rPr>
          <w:rFonts w:cs="Calibri"/>
        </w:rPr>
        <w:br/>
        <w:t>- this is explicitly handled in the labour-share decomposition through E/L</w:t>
      </w:r>
    </w:p>
    <w:p w14:paraId="7212D50C" w14:textId="77777777" w:rsidR="00B76B10" w:rsidRPr="00C737CC" w:rsidRDefault="00B76B10" w:rsidP="00C737CC">
      <w:pPr>
        <w:spacing w:after="0"/>
        <w:rPr>
          <w:rFonts w:cs="Calibri"/>
        </w:rPr>
      </w:pPr>
    </w:p>
    <w:p w14:paraId="5543FCEE" w14:textId="7CE180B0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3. Deflator heterogeneity outside the GDP income approach block</w:t>
      </w:r>
      <w:r w:rsidRPr="00C737CC">
        <w:rPr>
          <w:rFonts w:cs="Calibri"/>
        </w:rPr>
        <w:br/>
        <w:t>- average annual wages (FTE) and disposable income use different embedded price conventions</w:t>
      </w:r>
      <w:r w:rsidRPr="00C737CC">
        <w:rPr>
          <w:rFonts w:cs="Calibri"/>
        </w:rPr>
        <w:br/>
        <w:t>- this is normal and was retained as a caveat, not forced into a false accounting identity</w:t>
      </w:r>
    </w:p>
    <w:p w14:paraId="044AC545" w14:textId="77777777" w:rsidR="00B76B10" w:rsidRPr="00C737CC" w:rsidRDefault="00B76B10" w:rsidP="00C737CC">
      <w:pPr>
        <w:spacing w:after="0"/>
        <w:rPr>
          <w:rFonts w:cs="Calibri"/>
        </w:rPr>
      </w:pPr>
    </w:p>
    <w:p w14:paraId="2C4B10FA" w14:textId="578429F7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4. Chain-linked and converter-based real series</w:t>
      </w:r>
      <w:r w:rsidRPr="00C737CC">
        <w:rPr>
          <w:rFonts w:cs="Calibri"/>
        </w:rPr>
        <w:br/>
        <w:t>- constant 2020 converted series are treated as real/volume measures</w:t>
      </w:r>
      <w:r w:rsidRPr="00C737CC">
        <w:rPr>
          <w:rFonts w:cs="Calibri"/>
        </w:rPr>
        <w:br/>
        <w:t>- they are valid for productivity and ULC construction</w:t>
      </w:r>
      <w:r w:rsidRPr="00C737CC">
        <w:rPr>
          <w:rFonts w:cs="Calibri"/>
        </w:rPr>
        <w:br/>
        <w:t>- but the nominal/real ratio is not interpreted as a pure standalone deflator series in the final presentation</w:t>
      </w:r>
    </w:p>
    <w:p w14:paraId="6D01FF91" w14:textId="77777777" w:rsidR="00B76B10" w:rsidRPr="00C737CC" w:rsidRDefault="00B76B10" w:rsidP="00C737CC">
      <w:pPr>
        <w:spacing w:after="0"/>
        <w:rPr>
          <w:rFonts w:cs="Calibri"/>
        </w:rPr>
      </w:pPr>
    </w:p>
    <w:p w14:paraId="1B81A055" w14:textId="5CB6F741" w:rsidR="005D274D" w:rsidRDefault="00000000" w:rsidP="005D274D">
      <w:pPr>
        <w:spacing w:after="0"/>
        <w:rPr>
          <w:rFonts w:cs="Calibri"/>
        </w:rPr>
      </w:pPr>
      <w:r w:rsidRPr="00C737CC">
        <w:rPr>
          <w:rFonts w:cs="Calibri"/>
        </w:rPr>
        <w:t>5. USD conversion</w:t>
      </w:r>
      <w:r w:rsidRPr="00C737CC">
        <w:rPr>
          <w:rFonts w:cs="Calibri"/>
        </w:rPr>
        <w:br/>
        <w:t>- USD conversion affects levels</w:t>
      </w:r>
      <w:r w:rsidRPr="00C737CC">
        <w:rPr>
          <w:rFonts w:cs="Calibri"/>
        </w:rPr>
        <w:br/>
        <w:t>- ratios such as labour share and decomposition terms are the main analytical objects and are therefore more robust than raw level comparisons</w:t>
      </w:r>
    </w:p>
    <w:p w14:paraId="767AD567" w14:textId="77777777" w:rsidR="00603236" w:rsidRDefault="00603236" w:rsidP="005D274D">
      <w:pPr>
        <w:spacing w:after="0"/>
        <w:rPr>
          <w:rFonts w:cs="Calibri"/>
        </w:rPr>
      </w:pPr>
    </w:p>
    <w:p w14:paraId="12B9EB5A" w14:textId="779EA089" w:rsidR="00400773" w:rsidRPr="005D274D" w:rsidRDefault="00000000" w:rsidP="005D274D">
      <w:pPr>
        <w:pStyle w:val="Heading1"/>
        <w:spacing w:before="0"/>
        <w:rPr>
          <w:sz w:val="21"/>
          <w:szCs w:val="22"/>
        </w:rPr>
      </w:pPr>
      <w:r w:rsidRPr="00F278D9">
        <w:t>11. Final Analytical Logic</w:t>
      </w:r>
    </w:p>
    <w:p w14:paraId="018686EF" w14:textId="00B65FC1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The project separates two distinct questions:</w:t>
      </w:r>
    </w:p>
    <w:p w14:paraId="7AA7CD3A" w14:textId="77777777" w:rsidR="00B76B10" w:rsidRPr="00C737CC" w:rsidRDefault="00B76B10" w:rsidP="00C737CC">
      <w:pPr>
        <w:spacing w:after="0"/>
        <w:rPr>
          <w:rFonts w:cs="Calibri"/>
        </w:rPr>
      </w:pPr>
    </w:p>
    <w:p w14:paraId="20F32AE2" w14:textId="7CBD064E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A. Distribution:</w:t>
      </w:r>
      <w:r w:rsidRPr="00C737CC">
        <w:rPr>
          <w:rFonts w:cs="Calibri"/>
        </w:rPr>
        <w:br/>
        <w:t>- Labour share</w:t>
      </w:r>
      <w:r w:rsidRPr="00C737CC">
        <w:rPr>
          <w:rFonts w:cs="Calibri"/>
        </w:rPr>
        <w:br/>
        <w:t>- Wage share</w:t>
      </w:r>
      <w:r w:rsidRPr="00C737CC">
        <w:rPr>
          <w:rFonts w:cs="Calibri"/>
        </w:rPr>
        <w:br/>
        <w:t>- Labour-share decomposition</w:t>
      </w:r>
    </w:p>
    <w:p w14:paraId="4B685621" w14:textId="77777777" w:rsidR="00B76B10" w:rsidRPr="00C737CC" w:rsidRDefault="00B76B10" w:rsidP="00C737CC">
      <w:pPr>
        <w:spacing w:after="0"/>
        <w:rPr>
          <w:rFonts w:cs="Calibri"/>
        </w:rPr>
      </w:pPr>
    </w:p>
    <w:p w14:paraId="2BC0F273" w14:textId="010C2EB4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lastRenderedPageBreak/>
        <w:t>B. Cost competitiveness:</w:t>
      </w:r>
      <w:r w:rsidRPr="00C737CC">
        <w:rPr>
          <w:rFonts w:cs="Calibri"/>
        </w:rPr>
        <w:br/>
        <w:t>- ULC</w:t>
      </w:r>
      <w:r w:rsidRPr="00C737CC">
        <w:rPr>
          <w:rFonts w:cs="Calibri"/>
        </w:rPr>
        <w:br/>
        <w:t>- ULC index</w:t>
      </w:r>
      <w:r w:rsidRPr="00C737CC">
        <w:rPr>
          <w:rFonts w:cs="Calibri"/>
        </w:rPr>
        <w:br/>
        <w:t>- Comparison between ULC and labour share</w:t>
      </w:r>
    </w:p>
    <w:p w14:paraId="4C5A9C8F" w14:textId="77777777" w:rsidR="00B76B10" w:rsidRPr="00C737CC" w:rsidRDefault="00B76B10" w:rsidP="00C737CC">
      <w:pPr>
        <w:spacing w:after="0"/>
        <w:rPr>
          <w:rFonts w:cs="Calibri"/>
        </w:rPr>
      </w:pPr>
    </w:p>
    <w:p w14:paraId="2421FCA9" w14:textId="127923AF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And, in parallel, two wage–income comparison blocks:</w:t>
      </w:r>
      <w:r w:rsidRPr="00C737CC">
        <w:rPr>
          <w:rFonts w:cs="Calibri"/>
        </w:rPr>
        <w:br/>
        <w:t>- Model 1: per-capita labour income vs real disposable income per capita</w:t>
      </w:r>
      <w:r w:rsidRPr="00C737CC">
        <w:rPr>
          <w:rFonts w:cs="Calibri"/>
        </w:rPr>
        <w:br/>
        <w:t>- Model 2: employee-based wages (FTE and non-FTE concepts) vs real disposable income</w:t>
      </w:r>
    </w:p>
    <w:p w14:paraId="474E9704" w14:textId="77777777" w:rsidR="00B76B10" w:rsidRPr="00C737CC" w:rsidRDefault="00B76B10" w:rsidP="00C737CC">
      <w:pPr>
        <w:spacing w:after="0"/>
        <w:rPr>
          <w:rFonts w:cs="Calibri"/>
        </w:rPr>
      </w:pPr>
    </w:p>
    <w:p w14:paraId="46E6972E" w14:textId="4B34E554" w:rsidR="00400773" w:rsidRPr="00C737CC" w:rsidRDefault="00000000" w:rsidP="00C737CC">
      <w:pPr>
        <w:spacing w:after="0"/>
        <w:rPr>
          <w:rFonts w:cs="Calibri"/>
        </w:rPr>
      </w:pPr>
      <w:r w:rsidRPr="00C737CC">
        <w:rPr>
          <w:rFonts w:cs="Calibri"/>
        </w:rPr>
        <w:t>This structure allows the workbook to keep the labour-share / ULC framework technically consistent, while treating the wages–income comparison as a separate analytical layer with its own caveats.</w:t>
      </w:r>
    </w:p>
    <w:sectPr w:rsidR="00400773" w:rsidRPr="00C737CC" w:rsidSect="00C737C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527EA" w14:textId="77777777" w:rsidR="009419F3" w:rsidRDefault="009419F3" w:rsidP="005D274D">
      <w:pPr>
        <w:spacing w:after="0" w:line="240" w:lineRule="auto"/>
      </w:pPr>
      <w:r>
        <w:separator/>
      </w:r>
    </w:p>
  </w:endnote>
  <w:endnote w:type="continuationSeparator" w:id="0">
    <w:p w14:paraId="0EF222F6" w14:textId="77777777" w:rsidR="009419F3" w:rsidRDefault="009419F3" w:rsidP="005D2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C8015" w14:textId="77777777" w:rsidR="009419F3" w:rsidRDefault="009419F3" w:rsidP="005D274D">
      <w:pPr>
        <w:spacing w:after="0" w:line="240" w:lineRule="auto"/>
      </w:pPr>
      <w:r>
        <w:separator/>
      </w:r>
    </w:p>
  </w:footnote>
  <w:footnote w:type="continuationSeparator" w:id="0">
    <w:p w14:paraId="11177B22" w14:textId="77777777" w:rsidR="009419F3" w:rsidRDefault="009419F3" w:rsidP="005D2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111497">
    <w:abstractNumId w:val="8"/>
  </w:num>
  <w:num w:numId="2" w16cid:durableId="1654260358">
    <w:abstractNumId w:val="6"/>
  </w:num>
  <w:num w:numId="3" w16cid:durableId="1906185224">
    <w:abstractNumId w:val="5"/>
  </w:num>
  <w:num w:numId="4" w16cid:durableId="1693261836">
    <w:abstractNumId w:val="4"/>
  </w:num>
  <w:num w:numId="5" w16cid:durableId="46297298">
    <w:abstractNumId w:val="7"/>
  </w:num>
  <w:num w:numId="6" w16cid:durableId="1063211143">
    <w:abstractNumId w:val="3"/>
  </w:num>
  <w:num w:numId="7" w16cid:durableId="666250546">
    <w:abstractNumId w:val="2"/>
  </w:num>
  <w:num w:numId="8" w16cid:durableId="1276793194">
    <w:abstractNumId w:val="1"/>
  </w:num>
  <w:num w:numId="9" w16cid:durableId="1654679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D30"/>
    <w:rsid w:val="0029639D"/>
    <w:rsid w:val="00326F90"/>
    <w:rsid w:val="00400773"/>
    <w:rsid w:val="0045073E"/>
    <w:rsid w:val="005D274D"/>
    <w:rsid w:val="00603236"/>
    <w:rsid w:val="006F7333"/>
    <w:rsid w:val="00883543"/>
    <w:rsid w:val="008D3FCE"/>
    <w:rsid w:val="0094046C"/>
    <w:rsid w:val="009419F3"/>
    <w:rsid w:val="00957D50"/>
    <w:rsid w:val="00A460D7"/>
    <w:rsid w:val="00AA1D8D"/>
    <w:rsid w:val="00B47730"/>
    <w:rsid w:val="00B76B10"/>
    <w:rsid w:val="00C737CC"/>
    <w:rsid w:val="00CB0664"/>
    <w:rsid w:val="00CB496D"/>
    <w:rsid w:val="00F27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7E49A3"/>
  <w14:defaultImageDpi w14:val="300"/>
  <w15:docId w15:val="{A83F0CD6-61A4-A741-9345-5BA7F53D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Lorenzo Mazzolli</cp:lastModifiedBy>
  <cp:revision>10</cp:revision>
  <dcterms:created xsi:type="dcterms:W3CDTF">2026-03-26T15:25:00Z</dcterms:created>
  <dcterms:modified xsi:type="dcterms:W3CDTF">2026-04-13T17:41:00Z</dcterms:modified>
  <cp:category/>
</cp:coreProperties>
</file>