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B214D6" w14:textId="47562651" w:rsidR="00C50DED" w:rsidRPr="00731BB3" w:rsidRDefault="00000000" w:rsidP="00797C11">
      <w:pPr>
        <w:pStyle w:val="Title"/>
        <w:spacing w:after="0"/>
        <w:jc w:val="center"/>
        <w:rPr>
          <w:rFonts w:ascii="Calibri" w:hAnsi="Calibri" w:cs="Calibri"/>
          <w:b/>
          <w:bCs/>
          <w:sz w:val="40"/>
          <w:szCs w:val="40"/>
        </w:rPr>
      </w:pPr>
      <w:r w:rsidRPr="00731BB3">
        <w:rPr>
          <w:rFonts w:ascii="Calibri" w:hAnsi="Calibri" w:cs="Calibri"/>
          <w:b/>
          <w:bCs/>
          <w:sz w:val="40"/>
          <w:szCs w:val="40"/>
        </w:rPr>
        <w:t>Development Economics Project</w:t>
      </w:r>
    </w:p>
    <w:p w14:paraId="7B2A276E" w14:textId="5B02C260" w:rsidR="00C50DED" w:rsidRPr="00731BB3" w:rsidRDefault="00000000" w:rsidP="00797C11">
      <w:pPr>
        <w:pStyle w:val="Subtitle"/>
        <w:spacing w:after="0"/>
        <w:jc w:val="center"/>
        <w:rPr>
          <w:rFonts w:ascii="Calibri" w:hAnsi="Calibri" w:cs="Calibri"/>
        </w:rPr>
      </w:pPr>
      <w:r w:rsidRPr="00731BB3">
        <w:rPr>
          <w:rFonts w:ascii="Calibri" w:hAnsi="Calibri" w:cs="Calibri"/>
        </w:rPr>
        <w:t xml:space="preserve">Econometric structure, model </w:t>
      </w:r>
      <w:r w:rsidR="00284834" w:rsidRPr="00731BB3">
        <w:rPr>
          <w:rFonts w:ascii="Calibri" w:hAnsi="Calibri" w:cs="Calibri"/>
        </w:rPr>
        <w:t>design</w:t>
      </w:r>
      <w:r w:rsidRPr="00731BB3">
        <w:rPr>
          <w:rFonts w:ascii="Calibri" w:hAnsi="Calibri" w:cs="Calibri"/>
        </w:rPr>
        <w:t>, robustness</w:t>
      </w:r>
      <w:r w:rsidR="00907E79" w:rsidRPr="00731BB3">
        <w:rPr>
          <w:rFonts w:ascii="Calibri" w:hAnsi="Calibri" w:cs="Calibri"/>
        </w:rPr>
        <w:t>, empirical pipeline</w:t>
      </w:r>
    </w:p>
    <w:p w14:paraId="1B379303" w14:textId="3E292731" w:rsidR="00C50DED" w:rsidRPr="00731BB3" w:rsidRDefault="00000000" w:rsidP="00797C11">
      <w:pPr>
        <w:pStyle w:val="Heading1"/>
        <w:rPr>
          <w:rFonts w:ascii="Calibri" w:hAnsi="Calibri" w:cs="Calibri"/>
        </w:rPr>
      </w:pPr>
      <w:r w:rsidRPr="00731BB3">
        <w:rPr>
          <w:rFonts w:ascii="Calibri" w:hAnsi="Calibri" w:cs="Calibri"/>
          <w:color w:val="203864"/>
        </w:rPr>
        <w:t xml:space="preserve">1. Conceptual </w:t>
      </w:r>
      <w:r w:rsidR="00731BB3" w:rsidRPr="00731BB3">
        <w:rPr>
          <w:rFonts w:ascii="Calibri" w:hAnsi="Calibri" w:cs="Calibri"/>
          <w:color w:val="203864"/>
        </w:rPr>
        <w:t>R</w:t>
      </w:r>
      <w:r w:rsidRPr="00731BB3">
        <w:rPr>
          <w:rFonts w:ascii="Calibri" w:hAnsi="Calibri" w:cs="Calibri"/>
          <w:color w:val="203864"/>
        </w:rPr>
        <w:t>oadmap</w:t>
      </w:r>
    </w:p>
    <w:p w14:paraId="3E0F8ADE" w14:textId="28F7B59E" w:rsidR="00C50DED" w:rsidRPr="00731BB3" w:rsidRDefault="00000000" w:rsidP="00797C11">
      <w:pPr>
        <w:spacing w:after="0"/>
        <w:rPr>
          <w:rFonts w:ascii="Calibri" w:hAnsi="Calibri" w:cs="Calibri"/>
          <w:szCs w:val="21"/>
        </w:rPr>
      </w:pPr>
      <w:r w:rsidRPr="00731BB3">
        <w:rPr>
          <w:rFonts w:ascii="Calibri" w:hAnsi="Calibri" w:cs="Calibri"/>
          <w:szCs w:val="21"/>
        </w:rPr>
        <w:t xml:space="preserve">The sequence </w:t>
      </w:r>
      <w:r w:rsidR="000F1062" w:rsidRPr="00731BB3">
        <w:rPr>
          <w:rFonts w:ascii="Calibri" w:hAnsi="Calibri" w:cs="Calibri"/>
          <w:szCs w:val="21"/>
        </w:rPr>
        <w:t>starts</w:t>
      </w:r>
      <w:r w:rsidRPr="00731BB3">
        <w:rPr>
          <w:rFonts w:ascii="Calibri" w:hAnsi="Calibri" w:cs="Calibri"/>
          <w:szCs w:val="21"/>
        </w:rPr>
        <w:t xml:space="preserve"> with a preliminary descriptive and diagnostic check. This reduces the risk of estimating models “blindly,” especially in a relatively small cross-country sample with possible structural outliers.</w:t>
      </w:r>
    </w:p>
    <w:tbl>
      <w:tblPr>
        <w:tblStyle w:val="TableGrid"/>
        <w:tblW w:w="9780" w:type="dxa"/>
        <w:jc w:val="center"/>
        <w:tblLook w:val="04A0" w:firstRow="1" w:lastRow="0" w:firstColumn="1" w:lastColumn="0" w:noHBand="0" w:noVBand="1"/>
      </w:tblPr>
      <w:tblGrid>
        <w:gridCol w:w="2824"/>
        <w:gridCol w:w="3245"/>
        <w:gridCol w:w="3711"/>
      </w:tblGrid>
      <w:tr w:rsidR="00C50DED" w:rsidRPr="00731BB3" w14:paraId="3100CFBD" w14:textId="77777777" w:rsidTr="00284834">
        <w:trPr>
          <w:jc w:val="center"/>
        </w:trPr>
        <w:tc>
          <w:tcPr>
            <w:tcW w:w="2824" w:type="dxa"/>
            <w:shd w:val="clear" w:color="auto" w:fill="D9EAF7"/>
            <w:tcMar>
              <w:top w:w="90" w:type="dxa"/>
              <w:left w:w="100" w:type="dxa"/>
              <w:bottom w:w="90" w:type="dxa"/>
              <w:right w:w="100" w:type="dxa"/>
            </w:tcMar>
            <w:vAlign w:val="center"/>
          </w:tcPr>
          <w:p w14:paraId="754F4A00" w14:textId="77777777"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Step</w:t>
            </w:r>
          </w:p>
        </w:tc>
        <w:tc>
          <w:tcPr>
            <w:tcW w:w="3245" w:type="dxa"/>
            <w:shd w:val="clear" w:color="auto" w:fill="D9EAF7"/>
            <w:tcMar>
              <w:top w:w="90" w:type="dxa"/>
              <w:left w:w="100" w:type="dxa"/>
              <w:bottom w:w="90" w:type="dxa"/>
              <w:right w:w="100" w:type="dxa"/>
            </w:tcMar>
            <w:vAlign w:val="center"/>
          </w:tcPr>
          <w:p w14:paraId="7DD6DCA7" w14:textId="1DD2693F" w:rsidR="00C50DED" w:rsidRPr="00731BB3" w:rsidRDefault="000F1062" w:rsidP="00797C11">
            <w:pPr>
              <w:spacing w:line="276" w:lineRule="auto"/>
              <w:jc w:val="center"/>
              <w:rPr>
                <w:rFonts w:ascii="Calibri" w:hAnsi="Calibri" w:cs="Calibri"/>
                <w:sz w:val="23"/>
                <w:szCs w:val="23"/>
              </w:rPr>
            </w:pPr>
            <w:r w:rsidRPr="00731BB3">
              <w:rPr>
                <w:rFonts w:ascii="Calibri" w:hAnsi="Calibri" w:cs="Calibri"/>
                <w:b/>
                <w:color w:val="203864"/>
                <w:sz w:val="23"/>
                <w:szCs w:val="23"/>
              </w:rPr>
              <w:t>Title</w:t>
            </w:r>
          </w:p>
        </w:tc>
        <w:tc>
          <w:tcPr>
            <w:tcW w:w="3711" w:type="dxa"/>
            <w:shd w:val="clear" w:color="auto" w:fill="D9EAF7"/>
            <w:tcMar>
              <w:top w:w="90" w:type="dxa"/>
              <w:left w:w="100" w:type="dxa"/>
              <w:bottom w:w="90" w:type="dxa"/>
              <w:right w:w="100" w:type="dxa"/>
            </w:tcMar>
            <w:vAlign w:val="center"/>
          </w:tcPr>
          <w:p w14:paraId="36DC0035" w14:textId="7B527A1A"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Analytical </w:t>
            </w:r>
            <w:r w:rsidR="00731BB3" w:rsidRPr="00731BB3">
              <w:rPr>
                <w:rFonts w:ascii="Calibri" w:hAnsi="Calibri" w:cs="Calibri"/>
                <w:b/>
                <w:color w:val="203864"/>
                <w:sz w:val="23"/>
                <w:szCs w:val="23"/>
              </w:rPr>
              <w:t>P</w:t>
            </w:r>
            <w:r w:rsidRPr="00731BB3">
              <w:rPr>
                <w:rFonts w:ascii="Calibri" w:hAnsi="Calibri" w:cs="Calibri"/>
                <w:b/>
                <w:color w:val="203864"/>
                <w:sz w:val="23"/>
                <w:szCs w:val="23"/>
              </w:rPr>
              <w:t>urpose</w:t>
            </w:r>
          </w:p>
        </w:tc>
      </w:tr>
      <w:tr w:rsidR="00C50DED" w:rsidRPr="00731BB3" w14:paraId="3DA4EE2B" w14:textId="77777777" w:rsidTr="00284834">
        <w:trPr>
          <w:jc w:val="center"/>
        </w:trPr>
        <w:tc>
          <w:tcPr>
            <w:tcW w:w="2824" w:type="dxa"/>
            <w:tcMar>
              <w:top w:w="80" w:type="dxa"/>
              <w:left w:w="100" w:type="dxa"/>
              <w:bottom w:w="80" w:type="dxa"/>
              <w:right w:w="100" w:type="dxa"/>
            </w:tcMar>
            <w:vAlign w:val="center"/>
          </w:tcPr>
          <w:p w14:paraId="072E6160"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1</w:t>
            </w:r>
          </w:p>
        </w:tc>
        <w:tc>
          <w:tcPr>
            <w:tcW w:w="3245" w:type="dxa"/>
            <w:tcMar>
              <w:top w:w="80" w:type="dxa"/>
              <w:left w:w="100" w:type="dxa"/>
              <w:bottom w:w="80" w:type="dxa"/>
              <w:right w:w="100" w:type="dxa"/>
            </w:tcMar>
            <w:vAlign w:val="center"/>
          </w:tcPr>
          <w:p w14:paraId="195A5FF1" w14:textId="41783CEF" w:rsidR="00C50DED" w:rsidRPr="00731BB3" w:rsidRDefault="00000000" w:rsidP="00797C11">
            <w:pPr>
              <w:spacing w:line="276" w:lineRule="auto"/>
              <w:rPr>
                <w:rFonts w:ascii="Calibri" w:hAnsi="Calibri" w:cs="Calibri"/>
                <w:szCs w:val="21"/>
              </w:rPr>
            </w:pPr>
            <w:r w:rsidRPr="00731BB3">
              <w:rPr>
                <w:rFonts w:ascii="Calibri" w:hAnsi="Calibri" w:cs="Calibri"/>
                <w:szCs w:val="21"/>
              </w:rPr>
              <w:t>Load</w:t>
            </w:r>
            <w:r w:rsidR="000F1062" w:rsidRPr="00731BB3">
              <w:rPr>
                <w:rFonts w:ascii="Calibri" w:hAnsi="Calibri" w:cs="Calibri"/>
                <w:szCs w:val="21"/>
              </w:rPr>
              <w:t>ing a</w:t>
            </w:r>
            <w:r w:rsidRPr="00731BB3">
              <w:rPr>
                <w:rFonts w:ascii="Calibri" w:hAnsi="Calibri" w:cs="Calibri"/>
                <w:szCs w:val="21"/>
              </w:rPr>
              <w:t>nd Inspect</w:t>
            </w:r>
            <w:r w:rsidR="000F1062" w:rsidRPr="00731BB3">
              <w:rPr>
                <w:rFonts w:ascii="Calibri" w:hAnsi="Calibri" w:cs="Calibri"/>
                <w:szCs w:val="21"/>
              </w:rPr>
              <w:t>ing</w:t>
            </w:r>
            <w:r w:rsidRPr="00731BB3">
              <w:rPr>
                <w:rFonts w:ascii="Calibri" w:hAnsi="Calibri" w:cs="Calibri"/>
                <w:szCs w:val="21"/>
              </w:rPr>
              <w:t xml:space="preserve"> the Dataset</w:t>
            </w:r>
          </w:p>
        </w:tc>
        <w:tc>
          <w:tcPr>
            <w:tcW w:w="3711" w:type="dxa"/>
            <w:tcMar>
              <w:top w:w="80" w:type="dxa"/>
              <w:left w:w="100" w:type="dxa"/>
              <w:bottom w:w="80" w:type="dxa"/>
              <w:right w:w="100" w:type="dxa"/>
            </w:tcMar>
            <w:vAlign w:val="center"/>
          </w:tcPr>
          <w:p w14:paraId="3B1F5FA4" w14:textId="559F27DA" w:rsidR="00C50DED" w:rsidRPr="00731BB3" w:rsidRDefault="00FA0CD6" w:rsidP="00797C11">
            <w:pPr>
              <w:spacing w:line="276" w:lineRule="auto"/>
              <w:rPr>
                <w:rFonts w:ascii="Calibri" w:hAnsi="Calibri" w:cs="Calibri"/>
                <w:szCs w:val="21"/>
              </w:rPr>
            </w:pPr>
            <w:r w:rsidRPr="00731BB3">
              <w:rPr>
                <w:rFonts w:ascii="Calibri" w:hAnsi="Calibri" w:cs="Calibri"/>
                <w:szCs w:val="21"/>
              </w:rPr>
              <w:t>The import process, variable types, missing values, and naming conventions are verified.</w:t>
            </w:r>
          </w:p>
        </w:tc>
      </w:tr>
      <w:tr w:rsidR="00C50DED" w:rsidRPr="00731BB3" w14:paraId="54C145DA" w14:textId="77777777" w:rsidTr="00284834">
        <w:trPr>
          <w:jc w:val="center"/>
        </w:trPr>
        <w:tc>
          <w:tcPr>
            <w:tcW w:w="2824" w:type="dxa"/>
            <w:tcMar>
              <w:top w:w="80" w:type="dxa"/>
              <w:left w:w="100" w:type="dxa"/>
              <w:bottom w:w="80" w:type="dxa"/>
              <w:right w:w="100" w:type="dxa"/>
            </w:tcMar>
            <w:vAlign w:val="center"/>
          </w:tcPr>
          <w:p w14:paraId="7B51CE6B"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2</w:t>
            </w:r>
          </w:p>
        </w:tc>
        <w:tc>
          <w:tcPr>
            <w:tcW w:w="3245" w:type="dxa"/>
            <w:tcMar>
              <w:top w:w="80" w:type="dxa"/>
              <w:left w:w="100" w:type="dxa"/>
              <w:bottom w:w="80" w:type="dxa"/>
              <w:right w:w="100" w:type="dxa"/>
            </w:tcMar>
            <w:vAlign w:val="center"/>
          </w:tcPr>
          <w:p w14:paraId="0C68E72B" w14:textId="411D6907" w:rsidR="00C50DED" w:rsidRPr="00731BB3" w:rsidRDefault="00000000" w:rsidP="00797C11">
            <w:pPr>
              <w:spacing w:line="276" w:lineRule="auto"/>
              <w:rPr>
                <w:rFonts w:ascii="Calibri" w:hAnsi="Calibri" w:cs="Calibri"/>
                <w:szCs w:val="21"/>
              </w:rPr>
            </w:pPr>
            <w:r w:rsidRPr="00731BB3">
              <w:rPr>
                <w:rFonts w:ascii="Calibri" w:hAnsi="Calibri" w:cs="Calibri"/>
                <w:szCs w:val="21"/>
              </w:rPr>
              <w:t>Prepar</w:t>
            </w:r>
            <w:r w:rsidR="000F1062" w:rsidRPr="00731BB3">
              <w:rPr>
                <w:rFonts w:ascii="Calibri" w:hAnsi="Calibri" w:cs="Calibri"/>
                <w:szCs w:val="21"/>
              </w:rPr>
              <w:t xml:space="preserve">ing </w:t>
            </w:r>
            <w:r w:rsidRPr="00731BB3">
              <w:rPr>
                <w:rFonts w:ascii="Calibri" w:hAnsi="Calibri" w:cs="Calibri"/>
                <w:szCs w:val="21"/>
              </w:rPr>
              <w:t>Variables and Metadata</w:t>
            </w:r>
          </w:p>
        </w:tc>
        <w:tc>
          <w:tcPr>
            <w:tcW w:w="3711" w:type="dxa"/>
            <w:tcMar>
              <w:top w:w="80" w:type="dxa"/>
              <w:left w:w="100" w:type="dxa"/>
              <w:bottom w:w="80" w:type="dxa"/>
              <w:right w:w="100" w:type="dxa"/>
            </w:tcMar>
            <w:vAlign w:val="center"/>
          </w:tcPr>
          <w:p w14:paraId="2F791FAF" w14:textId="2CE56F8B" w:rsidR="00C50DED" w:rsidRPr="00731BB3" w:rsidRDefault="00FA0CD6" w:rsidP="00797C11">
            <w:pPr>
              <w:spacing w:line="276" w:lineRule="auto"/>
              <w:rPr>
                <w:rFonts w:ascii="Calibri" w:hAnsi="Calibri" w:cs="Calibri"/>
                <w:szCs w:val="21"/>
              </w:rPr>
            </w:pPr>
            <w:r w:rsidRPr="00731BB3">
              <w:rPr>
                <w:rFonts w:ascii="Calibri" w:hAnsi="Calibri" w:cs="Calibri"/>
                <w:szCs w:val="21"/>
              </w:rPr>
              <w:t>Columns are renamed and numeric subsets are constructed, together with clustering variables for region, institutional stability, and core growth model</w:t>
            </w:r>
            <w:r w:rsidR="00674D50" w:rsidRPr="00731BB3">
              <w:rPr>
                <w:rFonts w:ascii="Calibri" w:hAnsi="Calibri" w:cs="Calibri"/>
                <w:szCs w:val="21"/>
              </w:rPr>
              <w:t>.</w:t>
            </w:r>
          </w:p>
        </w:tc>
      </w:tr>
      <w:tr w:rsidR="00C50DED" w:rsidRPr="00731BB3" w14:paraId="555694C3" w14:textId="77777777" w:rsidTr="00284834">
        <w:trPr>
          <w:jc w:val="center"/>
        </w:trPr>
        <w:tc>
          <w:tcPr>
            <w:tcW w:w="2824" w:type="dxa"/>
            <w:tcMar>
              <w:top w:w="80" w:type="dxa"/>
              <w:left w:w="100" w:type="dxa"/>
              <w:bottom w:w="80" w:type="dxa"/>
              <w:right w:w="100" w:type="dxa"/>
            </w:tcMar>
            <w:vAlign w:val="center"/>
          </w:tcPr>
          <w:p w14:paraId="15A1AEC3"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3</w:t>
            </w:r>
          </w:p>
        </w:tc>
        <w:tc>
          <w:tcPr>
            <w:tcW w:w="3245" w:type="dxa"/>
            <w:tcMar>
              <w:top w:w="80" w:type="dxa"/>
              <w:left w:w="100" w:type="dxa"/>
              <w:bottom w:w="80" w:type="dxa"/>
              <w:right w:w="100" w:type="dxa"/>
            </w:tcMar>
            <w:vAlign w:val="center"/>
          </w:tcPr>
          <w:p w14:paraId="76BA3E43"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Correlation Matrix</w:t>
            </w:r>
          </w:p>
        </w:tc>
        <w:tc>
          <w:tcPr>
            <w:tcW w:w="3711" w:type="dxa"/>
            <w:tcMar>
              <w:top w:w="80" w:type="dxa"/>
              <w:left w:w="100" w:type="dxa"/>
              <w:bottom w:w="80" w:type="dxa"/>
              <w:right w:w="100" w:type="dxa"/>
            </w:tcMar>
            <w:vAlign w:val="center"/>
          </w:tcPr>
          <w:p w14:paraId="61F37EDB" w14:textId="3F39CA13" w:rsidR="00C50DED" w:rsidRPr="00731BB3" w:rsidRDefault="00FA0CD6" w:rsidP="00797C11">
            <w:pPr>
              <w:spacing w:line="276" w:lineRule="auto"/>
              <w:rPr>
                <w:rFonts w:ascii="Calibri" w:hAnsi="Calibri" w:cs="Calibri"/>
                <w:szCs w:val="21"/>
              </w:rPr>
            </w:pPr>
            <w:r w:rsidRPr="00731BB3">
              <w:rPr>
                <w:rFonts w:ascii="Calibri" w:hAnsi="Calibri" w:cs="Calibri"/>
                <w:szCs w:val="21"/>
              </w:rPr>
              <w:t>Linear associations among variables are explored in order to identify the most informative relationships for subsequent graphical analysis.</w:t>
            </w:r>
          </w:p>
        </w:tc>
      </w:tr>
      <w:tr w:rsidR="00C50DED" w:rsidRPr="00731BB3" w14:paraId="3BD6E302" w14:textId="77777777" w:rsidTr="00284834">
        <w:trPr>
          <w:jc w:val="center"/>
        </w:trPr>
        <w:tc>
          <w:tcPr>
            <w:tcW w:w="2824" w:type="dxa"/>
            <w:tcMar>
              <w:top w:w="80" w:type="dxa"/>
              <w:left w:w="100" w:type="dxa"/>
              <w:bottom w:w="80" w:type="dxa"/>
              <w:right w:w="100" w:type="dxa"/>
            </w:tcMar>
            <w:vAlign w:val="center"/>
          </w:tcPr>
          <w:p w14:paraId="7595EAAF"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4</w:t>
            </w:r>
          </w:p>
        </w:tc>
        <w:tc>
          <w:tcPr>
            <w:tcW w:w="3245" w:type="dxa"/>
            <w:tcMar>
              <w:top w:w="80" w:type="dxa"/>
              <w:left w:w="100" w:type="dxa"/>
              <w:bottom w:w="80" w:type="dxa"/>
              <w:right w:w="100" w:type="dxa"/>
            </w:tcMar>
            <w:vAlign w:val="center"/>
          </w:tcPr>
          <w:p w14:paraId="1359205B"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Scatter Plot Diagnostics</w:t>
            </w:r>
          </w:p>
        </w:tc>
        <w:tc>
          <w:tcPr>
            <w:tcW w:w="3711" w:type="dxa"/>
            <w:tcMar>
              <w:top w:w="80" w:type="dxa"/>
              <w:left w:w="100" w:type="dxa"/>
              <w:bottom w:w="80" w:type="dxa"/>
              <w:right w:w="100" w:type="dxa"/>
            </w:tcMar>
            <w:vAlign w:val="center"/>
          </w:tcPr>
          <w:p w14:paraId="5D3B025F" w14:textId="5571A1D6" w:rsidR="00C50DED" w:rsidRPr="00731BB3" w:rsidRDefault="00FA0CD6" w:rsidP="00797C11">
            <w:pPr>
              <w:spacing w:line="276" w:lineRule="auto"/>
              <w:rPr>
                <w:rFonts w:ascii="Calibri" w:hAnsi="Calibri" w:cs="Calibri"/>
                <w:szCs w:val="21"/>
              </w:rPr>
            </w:pPr>
            <w:r w:rsidRPr="00731BB3">
              <w:rPr>
                <w:rFonts w:ascii="Calibri" w:hAnsi="Calibri" w:cs="Calibri"/>
                <w:szCs w:val="21"/>
              </w:rPr>
              <w:t>The shape of relationships, cluster structures, outliers, and leverage points are examined using country codes as labels.</w:t>
            </w:r>
          </w:p>
        </w:tc>
      </w:tr>
      <w:tr w:rsidR="00C50DED" w:rsidRPr="00731BB3" w14:paraId="033A190F" w14:textId="77777777" w:rsidTr="00284834">
        <w:trPr>
          <w:jc w:val="center"/>
        </w:trPr>
        <w:tc>
          <w:tcPr>
            <w:tcW w:w="2824" w:type="dxa"/>
            <w:tcMar>
              <w:top w:w="80" w:type="dxa"/>
              <w:left w:w="100" w:type="dxa"/>
              <w:bottom w:w="80" w:type="dxa"/>
              <w:right w:w="100" w:type="dxa"/>
            </w:tcMar>
            <w:vAlign w:val="center"/>
          </w:tcPr>
          <w:p w14:paraId="3DCF9E2A"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5</w:t>
            </w:r>
          </w:p>
        </w:tc>
        <w:tc>
          <w:tcPr>
            <w:tcW w:w="3245" w:type="dxa"/>
            <w:tcMar>
              <w:top w:w="80" w:type="dxa"/>
              <w:left w:w="100" w:type="dxa"/>
              <w:bottom w:w="80" w:type="dxa"/>
              <w:right w:w="100" w:type="dxa"/>
            </w:tcMar>
            <w:vAlign w:val="center"/>
          </w:tcPr>
          <w:p w14:paraId="60F39450"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Regression Analysis</w:t>
            </w:r>
          </w:p>
        </w:tc>
        <w:tc>
          <w:tcPr>
            <w:tcW w:w="3711" w:type="dxa"/>
            <w:tcMar>
              <w:top w:w="80" w:type="dxa"/>
              <w:left w:w="100" w:type="dxa"/>
              <w:bottom w:w="80" w:type="dxa"/>
              <w:right w:w="100" w:type="dxa"/>
            </w:tcMar>
            <w:vAlign w:val="center"/>
          </w:tcPr>
          <w:p w14:paraId="7B8D9FD8" w14:textId="27792EA6" w:rsidR="00C50DED" w:rsidRPr="00731BB3" w:rsidRDefault="00FA0CD6" w:rsidP="00797C11">
            <w:pPr>
              <w:spacing w:line="276" w:lineRule="auto"/>
              <w:rPr>
                <w:rFonts w:ascii="Calibri" w:hAnsi="Calibri" w:cs="Calibri"/>
                <w:szCs w:val="21"/>
              </w:rPr>
            </w:pPr>
            <w:r w:rsidRPr="00731BB3">
              <w:rPr>
                <w:rFonts w:ascii="Calibri" w:hAnsi="Calibri" w:cs="Calibri"/>
                <w:szCs w:val="21"/>
              </w:rPr>
              <w:t>Regression models for the level of GDP per capita are estimated according to the specified empirical framework.</w:t>
            </w:r>
          </w:p>
        </w:tc>
      </w:tr>
      <w:tr w:rsidR="00C50DED" w:rsidRPr="00731BB3" w14:paraId="5B07B8FB" w14:textId="77777777" w:rsidTr="00284834">
        <w:trPr>
          <w:jc w:val="center"/>
        </w:trPr>
        <w:tc>
          <w:tcPr>
            <w:tcW w:w="2824" w:type="dxa"/>
            <w:tcMar>
              <w:top w:w="80" w:type="dxa"/>
              <w:left w:w="100" w:type="dxa"/>
              <w:bottom w:w="80" w:type="dxa"/>
              <w:right w:w="100" w:type="dxa"/>
            </w:tcMar>
            <w:vAlign w:val="center"/>
          </w:tcPr>
          <w:p w14:paraId="66E00407"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6</w:t>
            </w:r>
          </w:p>
        </w:tc>
        <w:tc>
          <w:tcPr>
            <w:tcW w:w="3245" w:type="dxa"/>
            <w:tcMar>
              <w:top w:w="80" w:type="dxa"/>
              <w:left w:w="100" w:type="dxa"/>
              <w:bottom w:w="80" w:type="dxa"/>
              <w:right w:w="100" w:type="dxa"/>
            </w:tcMar>
            <w:vAlign w:val="center"/>
          </w:tcPr>
          <w:p w14:paraId="3B07677F"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Growth Baseline</w:t>
            </w:r>
          </w:p>
        </w:tc>
        <w:tc>
          <w:tcPr>
            <w:tcW w:w="3711" w:type="dxa"/>
            <w:tcMar>
              <w:top w:w="80" w:type="dxa"/>
              <w:left w:w="100" w:type="dxa"/>
              <w:bottom w:w="80" w:type="dxa"/>
              <w:right w:w="100" w:type="dxa"/>
            </w:tcMar>
            <w:vAlign w:val="center"/>
          </w:tcPr>
          <w:p w14:paraId="261A53A5" w14:textId="3FAFB4C5" w:rsidR="00C50DED" w:rsidRPr="00731BB3" w:rsidRDefault="00A33E7A" w:rsidP="00797C11">
            <w:pPr>
              <w:spacing w:line="276" w:lineRule="auto"/>
              <w:rPr>
                <w:rFonts w:ascii="Calibri" w:hAnsi="Calibri" w:cs="Calibri"/>
                <w:szCs w:val="21"/>
              </w:rPr>
            </w:pPr>
            <w:r w:rsidRPr="00731BB3">
              <w:rPr>
                <w:rFonts w:ascii="Calibri" w:hAnsi="Calibri" w:cs="Calibri"/>
                <w:szCs w:val="21"/>
              </w:rPr>
              <w:t>The same procedure is applied to Model 2, focusing on the baseline specification for GDP per capita growth.</w:t>
            </w:r>
          </w:p>
        </w:tc>
      </w:tr>
      <w:tr w:rsidR="00C50DED" w:rsidRPr="00731BB3" w14:paraId="6BB6131F" w14:textId="77777777" w:rsidTr="00284834">
        <w:trPr>
          <w:jc w:val="center"/>
        </w:trPr>
        <w:tc>
          <w:tcPr>
            <w:tcW w:w="2824" w:type="dxa"/>
            <w:tcMar>
              <w:top w:w="80" w:type="dxa"/>
              <w:left w:w="100" w:type="dxa"/>
              <w:bottom w:w="80" w:type="dxa"/>
              <w:right w:w="100" w:type="dxa"/>
            </w:tcMar>
            <w:vAlign w:val="center"/>
          </w:tcPr>
          <w:p w14:paraId="52505F6E" w14:textId="77777777" w:rsidR="00C50DED" w:rsidRPr="00731BB3" w:rsidRDefault="00000000" w:rsidP="00797C11">
            <w:pPr>
              <w:spacing w:line="276" w:lineRule="auto"/>
              <w:jc w:val="center"/>
              <w:rPr>
                <w:rFonts w:ascii="Calibri" w:hAnsi="Calibri" w:cs="Calibri"/>
                <w:szCs w:val="21"/>
              </w:rPr>
            </w:pPr>
            <w:r w:rsidRPr="00731BB3">
              <w:rPr>
                <w:rFonts w:ascii="Calibri" w:hAnsi="Calibri" w:cs="Calibri"/>
                <w:szCs w:val="21"/>
              </w:rPr>
              <w:t>Step 7</w:t>
            </w:r>
          </w:p>
        </w:tc>
        <w:tc>
          <w:tcPr>
            <w:tcW w:w="3245" w:type="dxa"/>
            <w:tcMar>
              <w:top w:w="80" w:type="dxa"/>
              <w:left w:w="100" w:type="dxa"/>
              <w:bottom w:w="80" w:type="dxa"/>
              <w:right w:w="100" w:type="dxa"/>
            </w:tcMar>
            <w:vAlign w:val="center"/>
          </w:tcPr>
          <w:p w14:paraId="7069EE87"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Robustness Checks</w:t>
            </w:r>
          </w:p>
        </w:tc>
        <w:tc>
          <w:tcPr>
            <w:tcW w:w="3711" w:type="dxa"/>
            <w:tcMar>
              <w:top w:w="80" w:type="dxa"/>
              <w:left w:w="100" w:type="dxa"/>
              <w:bottom w:w="80" w:type="dxa"/>
              <w:right w:w="100" w:type="dxa"/>
            </w:tcMar>
            <w:vAlign w:val="center"/>
          </w:tcPr>
          <w:p w14:paraId="2AF09CA4" w14:textId="490E8D81" w:rsidR="00C50DED" w:rsidRPr="00731BB3" w:rsidRDefault="00A33E7A" w:rsidP="00797C11">
            <w:pPr>
              <w:spacing w:line="276" w:lineRule="auto"/>
              <w:rPr>
                <w:rFonts w:ascii="Calibri" w:hAnsi="Calibri" w:cs="Calibri"/>
                <w:szCs w:val="21"/>
              </w:rPr>
            </w:pPr>
            <w:r w:rsidRPr="00731BB3">
              <w:rPr>
                <w:rFonts w:ascii="Calibri" w:hAnsi="Calibri" w:cs="Calibri"/>
                <w:szCs w:val="21"/>
              </w:rPr>
              <w:t>Robustness is assessed with respect to model specification, sample composition, outliers, and standardization.</w:t>
            </w:r>
          </w:p>
        </w:tc>
      </w:tr>
    </w:tbl>
    <w:p w14:paraId="796A4EA6" w14:textId="77777777" w:rsidR="005D0A8A" w:rsidRPr="00731BB3" w:rsidRDefault="005D0A8A" w:rsidP="005D0A8A">
      <w:pPr>
        <w:pStyle w:val="Heading1"/>
        <w:spacing w:before="0"/>
        <w:rPr>
          <w:rFonts w:ascii="Calibri" w:hAnsi="Calibri" w:cs="Calibri"/>
          <w:color w:val="203864"/>
        </w:rPr>
      </w:pPr>
    </w:p>
    <w:p w14:paraId="0D43978B" w14:textId="20690ED2" w:rsidR="005D0A8A" w:rsidRPr="00731BB3" w:rsidRDefault="005D0A8A" w:rsidP="00674D19">
      <w:pPr>
        <w:pStyle w:val="Heading1"/>
        <w:spacing w:before="0"/>
        <w:rPr>
          <w:rFonts w:ascii="Calibri" w:hAnsi="Calibri" w:cs="Calibri"/>
          <w:color w:val="203864"/>
        </w:rPr>
      </w:pPr>
      <w:r w:rsidRPr="00731BB3">
        <w:rPr>
          <w:rFonts w:ascii="Calibri" w:hAnsi="Calibri" w:cs="Calibri"/>
          <w:color w:val="203864"/>
        </w:rPr>
        <w:t>2. Data Sources</w:t>
      </w:r>
    </w:p>
    <w:p w14:paraId="751964C4" w14:textId="77777777" w:rsidR="005D0A8A" w:rsidRPr="00731BB3" w:rsidRDefault="005D0A8A" w:rsidP="00674D19">
      <w:pPr>
        <w:pStyle w:val="ListBullet"/>
        <w:numPr>
          <w:ilvl w:val="0"/>
          <w:numId w:val="11"/>
        </w:numPr>
        <w:tabs>
          <w:tab w:val="left" w:pos="2127"/>
        </w:tabs>
        <w:spacing w:after="0"/>
        <w:rPr>
          <w:rFonts w:ascii="Calibri" w:hAnsi="Calibri" w:cs="Calibri"/>
        </w:rPr>
      </w:pPr>
      <w:r w:rsidRPr="00731BB3">
        <w:rPr>
          <w:rFonts w:ascii="Calibri" w:hAnsi="Calibri" w:cs="Calibri"/>
        </w:rPr>
        <w:t>World Bank WDI: macro, social, structure, trade, resources.</w:t>
      </w:r>
    </w:p>
    <w:p w14:paraId="7EA5EDC7" w14:textId="14C4DC2D" w:rsidR="00674D19" w:rsidRPr="00731BB3" w:rsidRDefault="005D0A8A" w:rsidP="00674D19">
      <w:pPr>
        <w:pStyle w:val="ListBullet"/>
        <w:numPr>
          <w:ilvl w:val="0"/>
          <w:numId w:val="11"/>
        </w:numPr>
        <w:tabs>
          <w:tab w:val="left" w:pos="2127"/>
        </w:tabs>
        <w:spacing w:after="0"/>
        <w:rPr>
          <w:rFonts w:ascii="Calibri" w:hAnsi="Calibri" w:cs="Calibri"/>
        </w:rPr>
      </w:pPr>
      <w:r w:rsidRPr="00731BB3">
        <w:rPr>
          <w:rFonts w:ascii="Calibri" w:hAnsi="Calibri" w:cs="Calibri"/>
        </w:rPr>
        <w:t>World Bank WGI: governance indicators.</w:t>
      </w:r>
    </w:p>
    <w:p w14:paraId="46EE3051" w14:textId="77777777" w:rsidR="006A3F94" w:rsidRPr="00731BB3" w:rsidRDefault="006A3F94" w:rsidP="00A33E7A">
      <w:pPr>
        <w:pStyle w:val="ListBullet"/>
        <w:numPr>
          <w:ilvl w:val="0"/>
          <w:numId w:val="0"/>
        </w:numPr>
        <w:tabs>
          <w:tab w:val="left" w:pos="2127"/>
        </w:tabs>
        <w:spacing w:after="0"/>
        <w:rPr>
          <w:rFonts w:ascii="Calibri" w:hAnsi="Calibri" w:cs="Calibri"/>
        </w:rPr>
      </w:pPr>
    </w:p>
    <w:p w14:paraId="104A46EA" w14:textId="07EE06F7" w:rsidR="00674D19" w:rsidRPr="00731BB3" w:rsidRDefault="005D0A8A" w:rsidP="00731BB3">
      <w:pPr>
        <w:pStyle w:val="Heading1"/>
        <w:spacing w:before="0"/>
        <w:rPr>
          <w:rFonts w:ascii="Calibri" w:hAnsi="Calibri" w:cs="Calibri"/>
          <w:color w:val="203864"/>
        </w:rPr>
      </w:pPr>
      <w:r w:rsidRPr="00731BB3">
        <w:rPr>
          <w:rFonts w:ascii="Calibri" w:hAnsi="Calibri" w:cs="Calibri"/>
          <w:color w:val="203864"/>
        </w:rPr>
        <w:lastRenderedPageBreak/>
        <w:t xml:space="preserve">3. Variable </w:t>
      </w:r>
      <w:r w:rsidR="009C2011" w:rsidRPr="00731BB3">
        <w:rPr>
          <w:rFonts w:ascii="Calibri" w:hAnsi="Calibri" w:cs="Calibri"/>
          <w:color w:val="203864"/>
        </w:rPr>
        <w:t xml:space="preserve">and </w:t>
      </w:r>
      <w:r w:rsidR="006A715C" w:rsidRPr="00731BB3">
        <w:rPr>
          <w:rFonts w:ascii="Calibri" w:hAnsi="Calibri" w:cs="Calibri"/>
          <w:color w:val="203864"/>
        </w:rPr>
        <w:t xml:space="preserve">Country </w:t>
      </w:r>
      <w:r w:rsidRPr="00731BB3">
        <w:rPr>
          <w:rFonts w:ascii="Calibri" w:hAnsi="Calibri" w:cs="Calibri"/>
          <w:color w:val="203864"/>
        </w:rPr>
        <w:t>Framework</w:t>
      </w:r>
    </w:p>
    <w:p w14:paraId="49EFC753" w14:textId="77777777" w:rsidR="00731BB3" w:rsidRPr="00731BB3" w:rsidRDefault="00731BB3" w:rsidP="00731BB3">
      <w:pPr>
        <w:rPr>
          <w:rFonts w:ascii="Calibri" w:hAnsi="Calibri" w:cs="Calibri"/>
        </w:rPr>
      </w:pPr>
    </w:p>
    <w:p w14:paraId="38F857AF" w14:textId="0EE478BD" w:rsidR="005D0A8A" w:rsidRPr="00731BB3" w:rsidRDefault="005D0A8A" w:rsidP="00674D19">
      <w:pPr>
        <w:pStyle w:val="Heading2"/>
        <w:spacing w:before="0"/>
        <w:rPr>
          <w:rFonts w:ascii="Calibri" w:hAnsi="Calibri" w:cs="Calibri"/>
          <w:color w:val="2F5597"/>
          <w:sz w:val="25"/>
          <w:szCs w:val="25"/>
        </w:rPr>
      </w:pPr>
      <w:r w:rsidRPr="00731BB3">
        <w:rPr>
          <w:rFonts w:ascii="Calibri" w:hAnsi="Calibri" w:cs="Calibri"/>
          <w:color w:val="2F5597"/>
          <w:sz w:val="25"/>
          <w:szCs w:val="25"/>
        </w:rPr>
        <w:t>Dependent Variables</w:t>
      </w:r>
      <w:r w:rsidR="003D6D7E" w:rsidRPr="00731BB3">
        <w:rPr>
          <w:rFonts w:ascii="Calibri" w:hAnsi="Calibri" w:cs="Calibri"/>
          <w:color w:val="2F5597"/>
          <w:sz w:val="25"/>
          <w:szCs w:val="25"/>
        </w:rPr>
        <w:t xml:space="preserve"> by Model</w:t>
      </w:r>
    </w:p>
    <w:p w14:paraId="78F6926E" w14:textId="0B923CEF" w:rsidR="003D6D7E" w:rsidRPr="00731BB3" w:rsidRDefault="003D6D7E" w:rsidP="003D6D7E">
      <w:pPr>
        <w:spacing w:after="0"/>
        <w:rPr>
          <w:rFonts w:ascii="Calibri" w:hAnsi="Calibri" w:cs="Calibri"/>
          <w:szCs w:val="21"/>
        </w:rPr>
      </w:pPr>
      <w:r w:rsidRPr="00731BB3">
        <w:rPr>
          <w:rFonts w:ascii="Calibri" w:hAnsi="Calibri" w:cs="Calibri"/>
          <w:szCs w:val="21"/>
        </w:rPr>
        <w:t xml:space="preserve">Model 1: </w:t>
      </w:r>
    </w:p>
    <w:p w14:paraId="1D524633" w14:textId="79043DCD" w:rsidR="00284834" w:rsidRPr="00731BB3" w:rsidRDefault="00F033DE" w:rsidP="003D6D7E">
      <w:pPr>
        <w:pStyle w:val="ListParagraph"/>
        <w:numPr>
          <w:ilvl w:val="0"/>
          <w:numId w:val="14"/>
        </w:numPr>
        <w:tabs>
          <w:tab w:val="left" w:pos="2127"/>
        </w:tabs>
        <w:spacing w:after="0"/>
        <w:rPr>
          <w:rFonts w:ascii="Calibri" w:hAnsi="Calibri" w:cs="Calibri"/>
          <w:szCs w:val="21"/>
        </w:rPr>
      </w:pPr>
      <w:r w:rsidRPr="00731BB3">
        <w:rPr>
          <w:rFonts w:ascii="Calibri" w:hAnsi="Calibri" w:cs="Calibri"/>
          <w:szCs w:val="21"/>
        </w:rPr>
        <w:t>L</w:t>
      </w:r>
      <w:r w:rsidR="00284834" w:rsidRPr="00731BB3">
        <w:rPr>
          <w:rFonts w:ascii="Calibri" w:hAnsi="Calibri" w:cs="Calibri"/>
          <w:szCs w:val="21"/>
        </w:rPr>
        <w:t>og</w:t>
      </w:r>
      <w:r w:rsidRPr="00731BB3">
        <w:rPr>
          <w:rFonts w:ascii="Calibri" w:hAnsi="Calibri" w:cs="Calibri"/>
          <w:szCs w:val="21"/>
        </w:rPr>
        <w:t xml:space="preserve"> </w:t>
      </w:r>
      <w:r w:rsidR="00284834" w:rsidRPr="00731BB3">
        <w:rPr>
          <w:rFonts w:ascii="Calibri" w:hAnsi="Calibri" w:cs="Calibri"/>
          <w:szCs w:val="21"/>
        </w:rPr>
        <w:t>GDP per capita</w:t>
      </w:r>
      <w:r w:rsidRPr="00731BB3">
        <w:rPr>
          <w:rFonts w:ascii="Calibri" w:hAnsi="Calibri" w:cs="Calibri"/>
          <w:szCs w:val="21"/>
        </w:rPr>
        <w:t xml:space="preserve"> (</w:t>
      </w:r>
      <w:r w:rsidR="00284834" w:rsidRPr="00731BB3">
        <w:rPr>
          <w:rFonts w:ascii="Calibri" w:hAnsi="Calibri" w:cs="Calibri"/>
          <w:szCs w:val="21"/>
        </w:rPr>
        <w:t>constant 2021 international $, 2023 or latest available year)</w:t>
      </w:r>
    </w:p>
    <w:p w14:paraId="02308BD6" w14:textId="4F069D48" w:rsidR="003D6D7E" w:rsidRPr="00731BB3" w:rsidRDefault="003D6D7E" w:rsidP="003D6D7E">
      <w:pPr>
        <w:tabs>
          <w:tab w:val="left" w:pos="2127"/>
        </w:tabs>
        <w:spacing w:after="0"/>
        <w:rPr>
          <w:rFonts w:ascii="Calibri" w:hAnsi="Calibri" w:cs="Calibri"/>
          <w:szCs w:val="21"/>
        </w:rPr>
      </w:pPr>
      <w:r w:rsidRPr="00731BB3">
        <w:rPr>
          <w:rFonts w:ascii="Calibri" w:hAnsi="Calibri" w:cs="Calibri"/>
          <w:szCs w:val="21"/>
        </w:rPr>
        <w:t>Model 2:</w:t>
      </w:r>
    </w:p>
    <w:p w14:paraId="673ED85C" w14:textId="783CDA49" w:rsidR="00674D19" w:rsidRPr="00731BB3" w:rsidRDefault="00284834" w:rsidP="003D6D7E">
      <w:pPr>
        <w:pStyle w:val="ListParagraph"/>
        <w:numPr>
          <w:ilvl w:val="0"/>
          <w:numId w:val="14"/>
        </w:numPr>
        <w:tabs>
          <w:tab w:val="left" w:pos="2127"/>
        </w:tabs>
        <w:spacing w:after="0"/>
        <w:rPr>
          <w:rFonts w:ascii="Calibri" w:hAnsi="Calibri" w:cs="Calibri"/>
          <w:szCs w:val="21"/>
        </w:rPr>
      </w:pPr>
      <w:r w:rsidRPr="00731BB3">
        <w:rPr>
          <w:rFonts w:ascii="Calibri" w:hAnsi="Calibri" w:cs="Calibri"/>
          <w:szCs w:val="21"/>
        </w:rPr>
        <w:t>GDP per capita growth (% average annual change, 2000–2023 or latest available period)</w:t>
      </w:r>
    </w:p>
    <w:p w14:paraId="7A0EB224" w14:textId="77777777" w:rsidR="00284834" w:rsidRPr="00731BB3" w:rsidRDefault="00284834" w:rsidP="00284834">
      <w:pPr>
        <w:pStyle w:val="ListParagraph"/>
        <w:tabs>
          <w:tab w:val="left" w:pos="2127"/>
        </w:tabs>
        <w:spacing w:after="0"/>
        <w:rPr>
          <w:rFonts w:ascii="Calibri" w:hAnsi="Calibri" w:cs="Calibri"/>
        </w:rPr>
      </w:pPr>
    </w:p>
    <w:p w14:paraId="25CF1C39" w14:textId="77777777" w:rsidR="00284834" w:rsidRPr="00731BB3" w:rsidRDefault="00284834" w:rsidP="00284834">
      <w:pPr>
        <w:pStyle w:val="Heading2"/>
        <w:spacing w:before="0"/>
        <w:rPr>
          <w:rFonts w:ascii="Calibri" w:hAnsi="Calibri" w:cs="Calibri"/>
          <w:color w:val="2F5597"/>
          <w:sz w:val="25"/>
          <w:szCs w:val="25"/>
        </w:rPr>
      </w:pPr>
      <w:r w:rsidRPr="00731BB3">
        <w:rPr>
          <w:rFonts w:ascii="Calibri" w:hAnsi="Calibri" w:cs="Calibri"/>
          <w:color w:val="2F5597"/>
          <w:sz w:val="25"/>
          <w:szCs w:val="25"/>
        </w:rPr>
        <w:t>Control Variables by Model</w:t>
      </w:r>
    </w:p>
    <w:p w14:paraId="157A8D1A" w14:textId="77777777" w:rsidR="00284834" w:rsidRPr="00731BB3" w:rsidRDefault="00284834" w:rsidP="003D6D7E">
      <w:pPr>
        <w:spacing w:after="0"/>
        <w:rPr>
          <w:rFonts w:ascii="Calibri" w:hAnsi="Calibri" w:cs="Calibri"/>
        </w:rPr>
      </w:pPr>
      <w:r w:rsidRPr="00731BB3">
        <w:rPr>
          <w:rFonts w:ascii="Calibri" w:hAnsi="Calibri" w:cs="Calibri"/>
        </w:rPr>
        <w:t>Model 1:</w:t>
      </w:r>
    </w:p>
    <w:p w14:paraId="1983E27C"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HCI+ score: 11 indicators focused on health, education, and employment (2023 or latest available year)</w:t>
      </w:r>
    </w:p>
    <w:p w14:paraId="73945FD3" w14:textId="6528F7A7" w:rsidR="00284834" w:rsidRPr="00731BB3" w:rsidRDefault="005A224E"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Governance</w:t>
      </w:r>
      <w:r w:rsidR="00284834" w:rsidRPr="00731BB3">
        <w:rPr>
          <w:rFonts w:ascii="Calibri" w:hAnsi="Calibri" w:cs="Calibri"/>
        </w:rPr>
        <w:t xml:space="preserve"> score: average of Rule of Law, Government Effectiveness, Control of Corruption, Political Stability, Voice and Accountability, Regulatory Quality (2023 or latest available year)</w:t>
      </w:r>
    </w:p>
    <w:p w14:paraId="1E2D0502"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Accumulation &amp; Openness: Gross capital formation (% of GDP); Trade openness (% of GDP); FDI inflows (% of GDP) (2023 or latest available year)</w:t>
      </w:r>
    </w:p>
    <w:p w14:paraId="4025F22C"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Structure &amp; Resources: Manufacturing value added (% of GDP); Services value added (% of GDP); Natural rents (% of GDP) (2023 or latest available year)</w:t>
      </w:r>
    </w:p>
    <w:p w14:paraId="0AC850AA" w14:textId="77777777" w:rsidR="00284834" w:rsidRPr="00731BB3" w:rsidRDefault="00284834" w:rsidP="00284834">
      <w:pPr>
        <w:pStyle w:val="ListParagraph"/>
        <w:tabs>
          <w:tab w:val="left" w:pos="2127"/>
        </w:tabs>
        <w:spacing w:after="0"/>
        <w:rPr>
          <w:rFonts w:ascii="Calibri" w:hAnsi="Calibri" w:cs="Calibri"/>
        </w:rPr>
      </w:pPr>
    </w:p>
    <w:p w14:paraId="41CB3298" w14:textId="77777777" w:rsidR="00284834" w:rsidRPr="00731BB3" w:rsidRDefault="00284834" w:rsidP="00284834">
      <w:pPr>
        <w:tabs>
          <w:tab w:val="left" w:pos="2127"/>
        </w:tabs>
        <w:spacing w:after="0"/>
        <w:rPr>
          <w:rFonts w:ascii="Calibri" w:hAnsi="Calibri" w:cs="Calibri"/>
        </w:rPr>
      </w:pPr>
      <w:r w:rsidRPr="00731BB3">
        <w:rPr>
          <w:rFonts w:ascii="Calibri" w:hAnsi="Calibri" w:cs="Calibri"/>
        </w:rPr>
        <w:t xml:space="preserve">Model 2: </w:t>
      </w:r>
    </w:p>
    <w:p w14:paraId="2B60CAD6"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HCI+ score average: 11 indicators focused on health, education, and employment (2000-2023 or latest available period)</w:t>
      </w:r>
    </w:p>
    <w:p w14:paraId="3B523082" w14:textId="448DE179" w:rsidR="00284834" w:rsidRPr="00731BB3" w:rsidRDefault="005A224E"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Governance</w:t>
      </w:r>
      <w:r w:rsidR="00284834" w:rsidRPr="00731BB3">
        <w:rPr>
          <w:rFonts w:ascii="Calibri" w:hAnsi="Calibri" w:cs="Calibri"/>
        </w:rPr>
        <w:t xml:space="preserve"> score average: average of Rule of Law, Government Effectiveness, Control of Corruption, Political Stability, Voice and Accountability, Regulatory Quality (2000-2023 or latest available period)</w:t>
      </w:r>
    </w:p>
    <w:p w14:paraId="5B1BD0FA" w14:textId="77777777" w:rsidR="00284834" w:rsidRPr="00731BB3" w:rsidRDefault="00284834" w:rsidP="00284834">
      <w:pPr>
        <w:pStyle w:val="ListParagraph"/>
        <w:numPr>
          <w:ilvl w:val="0"/>
          <w:numId w:val="10"/>
        </w:numPr>
        <w:tabs>
          <w:tab w:val="left" w:pos="2127"/>
        </w:tabs>
        <w:spacing w:after="0"/>
        <w:rPr>
          <w:rFonts w:ascii="Calibri" w:hAnsi="Calibri" w:cs="Calibri"/>
        </w:rPr>
      </w:pPr>
      <w:r w:rsidRPr="00731BB3">
        <w:rPr>
          <w:rFonts w:ascii="Calibri" w:hAnsi="Calibri" w:cs="Calibri"/>
        </w:rPr>
        <w:t>Accumulation &amp; Openness average: Gross capital formation (% of GDP); Trade openness (% of GDP) (2000-2023 or latest available period)</w:t>
      </w:r>
    </w:p>
    <w:p w14:paraId="14E896DB" w14:textId="77777777" w:rsidR="006A715C" w:rsidRPr="00731BB3" w:rsidRDefault="006A715C" w:rsidP="006A715C">
      <w:pPr>
        <w:pStyle w:val="ListParagraph"/>
        <w:tabs>
          <w:tab w:val="left" w:pos="2127"/>
        </w:tabs>
        <w:spacing w:after="0"/>
        <w:rPr>
          <w:rFonts w:ascii="Calibri" w:hAnsi="Calibri" w:cs="Calibri"/>
        </w:rPr>
      </w:pPr>
    </w:p>
    <w:p w14:paraId="25DC2BE2" w14:textId="45854D1A" w:rsidR="009C2011" w:rsidRPr="00731BB3" w:rsidRDefault="009C2011" w:rsidP="006A715C">
      <w:pPr>
        <w:pStyle w:val="Heading2"/>
        <w:spacing w:before="0"/>
        <w:rPr>
          <w:rFonts w:ascii="Calibri" w:hAnsi="Calibri" w:cs="Calibri"/>
          <w:color w:val="2F5597"/>
          <w:sz w:val="25"/>
          <w:szCs w:val="25"/>
        </w:rPr>
      </w:pPr>
      <w:r w:rsidRPr="00731BB3">
        <w:rPr>
          <w:rFonts w:ascii="Calibri" w:hAnsi="Calibri" w:cs="Calibri"/>
          <w:color w:val="2F5597"/>
          <w:sz w:val="25"/>
          <w:szCs w:val="25"/>
        </w:rPr>
        <w:t>Country Coverage</w:t>
      </w:r>
    </w:p>
    <w:p w14:paraId="1113230B" w14:textId="77777777" w:rsidR="009C2011" w:rsidRPr="00731BB3" w:rsidRDefault="009C2011" w:rsidP="009C2011">
      <w:pPr>
        <w:tabs>
          <w:tab w:val="left" w:pos="2127"/>
        </w:tabs>
        <w:spacing w:after="0"/>
        <w:rPr>
          <w:rFonts w:ascii="Calibri" w:hAnsi="Calibri" w:cs="Calibri"/>
        </w:rPr>
      </w:pPr>
    </w:p>
    <w:tbl>
      <w:tblPr>
        <w:tblStyle w:val="TableGrid"/>
        <w:tblW w:w="0" w:type="auto"/>
        <w:tblLook w:val="04A0" w:firstRow="1" w:lastRow="0" w:firstColumn="1" w:lastColumn="0" w:noHBand="0" w:noVBand="1"/>
      </w:tblPr>
      <w:tblGrid>
        <w:gridCol w:w="2014"/>
        <w:gridCol w:w="2092"/>
        <w:gridCol w:w="1985"/>
        <w:gridCol w:w="2126"/>
        <w:gridCol w:w="1519"/>
      </w:tblGrid>
      <w:tr w:rsidR="009C2011" w:rsidRPr="00731BB3" w14:paraId="7581A73B" w14:textId="77777777" w:rsidTr="009C2011">
        <w:tc>
          <w:tcPr>
            <w:tcW w:w="2014" w:type="dxa"/>
          </w:tcPr>
          <w:p w14:paraId="3B38B5A0"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Region</w:t>
            </w:r>
          </w:p>
        </w:tc>
        <w:tc>
          <w:tcPr>
            <w:tcW w:w="2092" w:type="dxa"/>
          </w:tcPr>
          <w:p w14:paraId="099C9B69"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Core Growth Model</w:t>
            </w:r>
          </w:p>
        </w:tc>
        <w:tc>
          <w:tcPr>
            <w:tcW w:w="1985" w:type="dxa"/>
          </w:tcPr>
          <w:p w14:paraId="5802CE47"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Structural Qualifier</w:t>
            </w:r>
          </w:p>
        </w:tc>
        <w:tc>
          <w:tcPr>
            <w:tcW w:w="2126" w:type="dxa"/>
          </w:tcPr>
          <w:p w14:paraId="7EB07067"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Institution Stability</w:t>
            </w:r>
          </w:p>
        </w:tc>
        <w:tc>
          <w:tcPr>
            <w:tcW w:w="1519" w:type="dxa"/>
          </w:tcPr>
          <w:p w14:paraId="51D50DDD" w14:textId="77777777" w:rsidR="009C2011" w:rsidRPr="00731BB3" w:rsidRDefault="009C2011" w:rsidP="009C2011">
            <w:pPr>
              <w:spacing w:line="276" w:lineRule="auto"/>
              <w:rPr>
                <w:rFonts w:ascii="Calibri" w:hAnsi="Calibri" w:cs="Calibri"/>
                <w:b/>
                <w:bCs/>
                <w:szCs w:val="21"/>
              </w:rPr>
            </w:pPr>
            <w:r w:rsidRPr="00731BB3">
              <w:rPr>
                <w:rFonts w:ascii="Calibri" w:hAnsi="Calibri" w:cs="Calibri"/>
                <w:b/>
                <w:bCs/>
                <w:szCs w:val="21"/>
              </w:rPr>
              <w:t>Country Name</w:t>
            </w:r>
          </w:p>
        </w:tc>
      </w:tr>
      <w:tr w:rsidR="009C2011" w:rsidRPr="00731BB3" w14:paraId="2195EEB9" w14:textId="77777777" w:rsidTr="009C2011">
        <w:tc>
          <w:tcPr>
            <w:tcW w:w="2014" w:type="dxa"/>
          </w:tcPr>
          <w:p w14:paraId="09F97B5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Africa</w:t>
            </w:r>
          </w:p>
        </w:tc>
        <w:tc>
          <w:tcPr>
            <w:tcW w:w="2092" w:type="dxa"/>
          </w:tcPr>
          <w:p w14:paraId="42FEA59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3E23163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Hydrocarbon-dominated economy</w:t>
            </w:r>
          </w:p>
        </w:tc>
        <w:tc>
          <w:tcPr>
            <w:tcW w:w="2126" w:type="dxa"/>
          </w:tcPr>
          <w:p w14:paraId="631790E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A1E906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Nigeria</w:t>
            </w:r>
          </w:p>
        </w:tc>
      </w:tr>
      <w:tr w:rsidR="009C2011" w:rsidRPr="00731BB3" w14:paraId="42DB4026" w14:textId="77777777" w:rsidTr="009C2011">
        <w:tc>
          <w:tcPr>
            <w:tcW w:w="2014" w:type="dxa"/>
          </w:tcPr>
          <w:p w14:paraId="0FF3F0F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1C712C8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3CC6BC6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 economy with low-diversification services</w:t>
            </w:r>
          </w:p>
        </w:tc>
        <w:tc>
          <w:tcPr>
            <w:tcW w:w="2126" w:type="dxa"/>
          </w:tcPr>
          <w:p w14:paraId="2F3637B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E05780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Nicaragua</w:t>
            </w:r>
          </w:p>
        </w:tc>
      </w:tr>
      <w:tr w:rsidR="009C2011" w:rsidRPr="00731BB3" w14:paraId="4DB21F2F" w14:textId="77777777" w:rsidTr="009C2011">
        <w:tc>
          <w:tcPr>
            <w:tcW w:w="2014" w:type="dxa"/>
          </w:tcPr>
          <w:p w14:paraId="7038B8D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4B17CB1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6AD66FF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3F915AC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65533D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El Salvador</w:t>
            </w:r>
          </w:p>
        </w:tc>
      </w:tr>
      <w:tr w:rsidR="009C2011" w:rsidRPr="00731BB3" w14:paraId="658ADCE2" w14:textId="77777777" w:rsidTr="009C2011">
        <w:tc>
          <w:tcPr>
            <w:tcW w:w="2014" w:type="dxa"/>
          </w:tcPr>
          <w:p w14:paraId="45633FB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0B91248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5A342ED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1EF573A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4962921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Guatemala</w:t>
            </w:r>
          </w:p>
        </w:tc>
      </w:tr>
      <w:tr w:rsidR="009C2011" w:rsidRPr="00731BB3" w14:paraId="0835D911" w14:textId="77777777" w:rsidTr="009C2011">
        <w:tc>
          <w:tcPr>
            <w:tcW w:w="2014" w:type="dxa"/>
          </w:tcPr>
          <w:p w14:paraId="1B48BF3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50DC772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34D3C24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Low-diversification services structure</w:t>
            </w:r>
          </w:p>
        </w:tc>
        <w:tc>
          <w:tcPr>
            <w:tcW w:w="2126" w:type="dxa"/>
          </w:tcPr>
          <w:p w14:paraId="3AD1C11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BEA57C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Honduras</w:t>
            </w:r>
          </w:p>
        </w:tc>
      </w:tr>
      <w:tr w:rsidR="009C2011" w:rsidRPr="00731BB3" w14:paraId="5982F7AB" w14:textId="77777777" w:rsidTr="009C2011">
        <w:tc>
          <w:tcPr>
            <w:tcW w:w="2014" w:type="dxa"/>
          </w:tcPr>
          <w:p w14:paraId="14D5130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Central America</w:t>
            </w:r>
          </w:p>
        </w:tc>
        <w:tc>
          <w:tcPr>
            <w:tcW w:w="2092" w:type="dxa"/>
          </w:tcPr>
          <w:p w14:paraId="4D46DF2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32ECF56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Logistics, finance, and trade hub</w:t>
            </w:r>
          </w:p>
        </w:tc>
        <w:tc>
          <w:tcPr>
            <w:tcW w:w="2126" w:type="dxa"/>
          </w:tcPr>
          <w:p w14:paraId="478F366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C26D9E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Panama</w:t>
            </w:r>
          </w:p>
        </w:tc>
      </w:tr>
      <w:tr w:rsidR="009C2011" w:rsidRPr="00731BB3" w14:paraId="5ADEB166" w14:textId="77777777" w:rsidTr="009C2011">
        <w:tc>
          <w:tcPr>
            <w:tcW w:w="2014" w:type="dxa"/>
          </w:tcPr>
          <w:p w14:paraId="1064392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lastRenderedPageBreak/>
              <w:t>Central America</w:t>
            </w:r>
          </w:p>
        </w:tc>
        <w:tc>
          <w:tcPr>
            <w:tcW w:w="2092" w:type="dxa"/>
          </w:tcPr>
          <w:p w14:paraId="6FF18BC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208CE9E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High-value-added manufacturing and business services</w:t>
            </w:r>
          </w:p>
        </w:tc>
        <w:tc>
          <w:tcPr>
            <w:tcW w:w="2126" w:type="dxa"/>
          </w:tcPr>
          <w:p w14:paraId="58F5FFD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7064821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Costa Rica</w:t>
            </w:r>
          </w:p>
        </w:tc>
      </w:tr>
      <w:tr w:rsidR="009C2011" w:rsidRPr="00731BB3" w14:paraId="0122B946" w14:textId="77777777" w:rsidTr="009C2011">
        <w:tc>
          <w:tcPr>
            <w:tcW w:w="2014" w:type="dxa"/>
          </w:tcPr>
          <w:p w14:paraId="2C486D3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Guianas</w:t>
            </w:r>
          </w:p>
        </w:tc>
        <w:tc>
          <w:tcPr>
            <w:tcW w:w="2092" w:type="dxa"/>
          </w:tcPr>
          <w:p w14:paraId="7191FA8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0844949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Gold/bauxite-oriented extractive economy</w:t>
            </w:r>
          </w:p>
        </w:tc>
        <w:tc>
          <w:tcPr>
            <w:tcW w:w="2126" w:type="dxa"/>
          </w:tcPr>
          <w:p w14:paraId="4A060BD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6501623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Suriname</w:t>
            </w:r>
          </w:p>
        </w:tc>
      </w:tr>
      <w:tr w:rsidR="009C2011" w:rsidRPr="00731BB3" w14:paraId="4516710B" w14:textId="77777777" w:rsidTr="009C2011">
        <w:tc>
          <w:tcPr>
            <w:tcW w:w="2014" w:type="dxa"/>
          </w:tcPr>
          <w:p w14:paraId="2C2A504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Guianas</w:t>
            </w:r>
          </w:p>
        </w:tc>
        <w:tc>
          <w:tcPr>
            <w:tcW w:w="2092" w:type="dxa"/>
          </w:tcPr>
          <w:p w14:paraId="6E558C5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62F5592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Emerging offshore oil economy</w:t>
            </w:r>
          </w:p>
        </w:tc>
        <w:tc>
          <w:tcPr>
            <w:tcW w:w="2126" w:type="dxa"/>
          </w:tcPr>
          <w:p w14:paraId="79692AB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5298A59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Guyana</w:t>
            </w:r>
          </w:p>
        </w:tc>
      </w:tr>
      <w:tr w:rsidR="009C2011" w:rsidRPr="00731BB3" w14:paraId="18A22753" w14:textId="77777777" w:rsidTr="009C2011">
        <w:tc>
          <w:tcPr>
            <w:tcW w:w="2014" w:type="dxa"/>
          </w:tcPr>
          <w:p w14:paraId="08FB9A4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3759484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7736295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Frontier transition economy</w:t>
            </w:r>
          </w:p>
        </w:tc>
        <w:tc>
          <w:tcPr>
            <w:tcW w:w="2126" w:type="dxa"/>
          </w:tcPr>
          <w:p w14:paraId="73DC401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6392FA8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Cambodia</w:t>
            </w:r>
          </w:p>
        </w:tc>
      </w:tr>
      <w:tr w:rsidR="009C2011" w:rsidRPr="00731BB3" w14:paraId="2459B927" w14:textId="77777777" w:rsidTr="009C2011">
        <w:tc>
          <w:tcPr>
            <w:tcW w:w="2014" w:type="dxa"/>
          </w:tcPr>
          <w:p w14:paraId="1FCB4E8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5591684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Agrarian-led</w:t>
            </w:r>
          </w:p>
        </w:tc>
        <w:tc>
          <w:tcPr>
            <w:tcW w:w="1985" w:type="dxa"/>
          </w:tcPr>
          <w:p w14:paraId="465ABC6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Frontier transition economy</w:t>
            </w:r>
          </w:p>
        </w:tc>
        <w:tc>
          <w:tcPr>
            <w:tcW w:w="2126" w:type="dxa"/>
          </w:tcPr>
          <w:p w14:paraId="21FA3C8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17F16FC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Lao PDR</w:t>
            </w:r>
          </w:p>
        </w:tc>
      </w:tr>
      <w:tr w:rsidR="009C2011" w:rsidRPr="00731BB3" w14:paraId="7096BE7C" w14:textId="77777777" w:rsidTr="009C2011">
        <w:tc>
          <w:tcPr>
            <w:tcW w:w="2014" w:type="dxa"/>
          </w:tcPr>
          <w:p w14:paraId="2120C5D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0151A2B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33DB29E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Diversified export manufacturing base</w:t>
            </w:r>
          </w:p>
        </w:tc>
        <w:tc>
          <w:tcPr>
            <w:tcW w:w="2126" w:type="dxa"/>
          </w:tcPr>
          <w:p w14:paraId="79E284D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020E105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Malaysia</w:t>
            </w:r>
          </w:p>
        </w:tc>
      </w:tr>
      <w:tr w:rsidR="009C2011" w:rsidRPr="00731BB3" w14:paraId="5CDE7283" w14:textId="77777777" w:rsidTr="009C2011">
        <w:tc>
          <w:tcPr>
            <w:tcW w:w="2014" w:type="dxa"/>
          </w:tcPr>
          <w:p w14:paraId="6216A12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1931E4C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2A22B7A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Export-oriented industrial economy</w:t>
            </w:r>
          </w:p>
        </w:tc>
        <w:tc>
          <w:tcPr>
            <w:tcW w:w="2126" w:type="dxa"/>
          </w:tcPr>
          <w:p w14:paraId="10EC6A3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8B2C28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Thailand</w:t>
            </w:r>
          </w:p>
        </w:tc>
      </w:tr>
      <w:tr w:rsidR="009C2011" w:rsidRPr="00731BB3" w14:paraId="11C4C557" w14:textId="77777777" w:rsidTr="009C2011">
        <w:tc>
          <w:tcPr>
            <w:tcW w:w="2014" w:type="dxa"/>
          </w:tcPr>
          <w:p w14:paraId="5CDBFCE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7E81362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Manufacturing-led</w:t>
            </w:r>
          </w:p>
        </w:tc>
        <w:tc>
          <w:tcPr>
            <w:tcW w:w="1985" w:type="dxa"/>
          </w:tcPr>
          <w:p w14:paraId="3E075E05"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Export-oriented industrial economy</w:t>
            </w:r>
          </w:p>
        </w:tc>
        <w:tc>
          <w:tcPr>
            <w:tcW w:w="2126" w:type="dxa"/>
          </w:tcPr>
          <w:p w14:paraId="3BAEB65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3896F1B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Viet Nam</w:t>
            </w:r>
          </w:p>
        </w:tc>
      </w:tr>
      <w:tr w:rsidR="009C2011" w:rsidRPr="00731BB3" w14:paraId="719C91EE" w14:textId="77777777" w:rsidTr="009C2011">
        <w:tc>
          <w:tcPr>
            <w:tcW w:w="2014" w:type="dxa"/>
          </w:tcPr>
          <w:p w14:paraId="44D360B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South-East Asia</w:t>
            </w:r>
          </w:p>
        </w:tc>
        <w:tc>
          <w:tcPr>
            <w:tcW w:w="2092" w:type="dxa"/>
          </w:tcPr>
          <w:p w14:paraId="7C330D1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Services-led</w:t>
            </w:r>
          </w:p>
        </w:tc>
        <w:tc>
          <w:tcPr>
            <w:tcW w:w="1985" w:type="dxa"/>
          </w:tcPr>
          <w:p w14:paraId="4D8A5B2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Remittance- and services-supported</w:t>
            </w:r>
          </w:p>
        </w:tc>
        <w:tc>
          <w:tcPr>
            <w:tcW w:w="2126" w:type="dxa"/>
          </w:tcPr>
          <w:p w14:paraId="4FD72CA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CD8BB7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Philippines</w:t>
            </w:r>
          </w:p>
        </w:tc>
      </w:tr>
      <w:tr w:rsidR="009C2011" w:rsidRPr="00731BB3" w14:paraId="18C85EDB" w14:textId="77777777" w:rsidTr="009C2011">
        <w:tc>
          <w:tcPr>
            <w:tcW w:w="2014" w:type="dxa"/>
          </w:tcPr>
          <w:p w14:paraId="1E973F2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2B5EF0B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Diversified</w:t>
            </w:r>
          </w:p>
        </w:tc>
        <w:tc>
          <w:tcPr>
            <w:tcW w:w="1985" w:type="dxa"/>
          </w:tcPr>
          <w:p w14:paraId="7445A11A"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Resource-based and services-supported</w:t>
            </w:r>
          </w:p>
        </w:tc>
        <w:tc>
          <w:tcPr>
            <w:tcW w:w="2126" w:type="dxa"/>
          </w:tcPr>
          <w:p w14:paraId="2E424F9E"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40F52CE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 Africa</w:t>
            </w:r>
          </w:p>
        </w:tc>
      </w:tr>
      <w:tr w:rsidR="009C2011" w:rsidRPr="00731BB3" w14:paraId="0DA08B1A" w14:textId="77777777" w:rsidTr="009C2011">
        <w:tc>
          <w:tcPr>
            <w:tcW w:w="2014" w:type="dxa"/>
          </w:tcPr>
          <w:p w14:paraId="59EBAF3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41AE42B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5541A5D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Mineral-based resource economy</w:t>
            </w:r>
          </w:p>
        </w:tc>
        <w:tc>
          <w:tcPr>
            <w:tcW w:w="2126" w:type="dxa"/>
          </w:tcPr>
          <w:p w14:paraId="5283262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0C5AACB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Zimbabwe</w:t>
            </w:r>
          </w:p>
        </w:tc>
      </w:tr>
      <w:tr w:rsidR="009C2011" w:rsidRPr="00731BB3" w14:paraId="1445707F" w14:textId="77777777" w:rsidTr="009C2011">
        <w:tc>
          <w:tcPr>
            <w:tcW w:w="2014" w:type="dxa"/>
          </w:tcPr>
          <w:p w14:paraId="630514C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54FACFD6"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350431C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Extractive-led with gas/mineral orientation</w:t>
            </w:r>
          </w:p>
        </w:tc>
        <w:tc>
          <w:tcPr>
            <w:tcW w:w="2126" w:type="dxa"/>
          </w:tcPr>
          <w:p w14:paraId="7CF5EAB1"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13974E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Mozambique</w:t>
            </w:r>
          </w:p>
        </w:tc>
      </w:tr>
      <w:tr w:rsidR="009C2011" w:rsidRPr="00731BB3" w14:paraId="5EF8F42F" w14:textId="77777777" w:rsidTr="009C2011">
        <w:tc>
          <w:tcPr>
            <w:tcW w:w="2014" w:type="dxa"/>
          </w:tcPr>
          <w:p w14:paraId="46F977A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6B710E6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6B41C8B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Copper-dependent extractive model</w:t>
            </w:r>
          </w:p>
        </w:tc>
        <w:tc>
          <w:tcPr>
            <w:tcW w:w="2126" w:type="dxa"/>
          </w:tcPr>
          <w:p w14:paraId="55BE5C9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Intermediate</w:t>
            </w:r>
          </w:p>
        </w:tc>
        <w:tc>
          <w:tcPr>
            <w:tcW w:w="1519" w:type="dxa"/>
          </w:tcPr>
          <w:p w14:paraId="02F3D32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Zambia</w:t>
            </w:r>
          </w:p>
        </w:tc>
      </w:tr>
      <w:tr w:rsidR="009C2011" w:rsidRPr="00731BB3" w14:paraId="38301F9B" w14:textId="77777777" w:rsidTr="009C2011">
        <w:tc>
          <w:tcPr>
            <w:tcW w:w="2014" w:type="dxa"/>
          </w:tcPr>
          <w:p w14:paraId="0FBC879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4EA9A403"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5D05D4DD"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Diamond-intensive extractive model</w:t>
            </w:r>
          </w:p>
        </w:tc>
        <w:tc>
          <w:tcPr>
            <w:tcW w:w="2126" w:type="dxa"/>
          </w:tcPr>
          <w:p w14:paraId="43C410F4"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53CB455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Botswana</w:t>
            </w:r>
          </w:p>
        </w:tc>
      </w:tr>
      <w:tr w:rsidR="009C2011" w:rsidRPr="00731BB3" w14:paraId="6508E058" w14:textId="77777777" w:rsidTr="009C2011">
        <w:tc>
          <w:tcPr>
            <w:tcW w:w="2014" w:type="dxa"/>
          </w:tcPr>
          <w:p w14:paraId="29394099"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146FE56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Mining-led</w:t>
            </w:r>
          </w:p>
        </w:tc>
        <w:tc>
          <w:tcPr>
            <w:tcW w:w="1985" w:type="dxa"/>
          </w:tcPr>
          <w:p w14:paraId="23C0869F"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Mineral-based resource economy</w:t>
            </w:r>
          </w:p>
        </w:tc>
        <w:tc>
          <w:tcPr>
            <w:tcW w:w="2126" w:type="dxa"/>
          </w:tcPr>
          <w:p w14:paraId="2BF95250"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Stable</w:t>
            </w:r>
          </w:p>
        </w:tc>
        <w:tc>
          <w:tcPr>
            <w:tcW w:w="1519" w:type="dxa"/>
          </w:tcPr>
          <w:p w14:paraId="16D784A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Namibia</w:t>
            </w:r>
          </w:p>
        </w:tc>
      </w:tr>
      <w:tr w:rsidR="009C2011" w:rsidRPr="00731BB3" w14:paraId="2CB4E138" w14:textId="77777777" w:rsidTr="009C2011">
        <w:tc>
          <w:tcPr>
            <w:tcW w:w="2014" w:type="dxa"/>
          </w:tcPr>
          <w:p w14:paraId="20937C78"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Southern Africa</w:t>
            </w:r>
          </w:p>
        </w:tc>
        <w:tc>
          <w:tcPr>
            <w:tcW w:w="2092" w:type="dxa"/>
          </w:tcPr>
          <w:p w14:paraId="551ABBAB"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Oil-led</w:t>
            </w:r>
          </w:p>
        </w:tc>
        <w:tc>
          <w:tcPr>
            <w:tcW w:w="1985" w:type="dxa"/>
          </w:tcPr>
          <w:p w14:paraId="7D9E722C"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Hydrocarbon-dominated economy</w:t>
            </w:r>
          </w:p>
        </w:tc>
        <w:tc>
          <w:tcPr>
            <w:tcW w:w="2126" w:type="dxa"/>
          </w:tcPr>
          <w:p w14:paraId="428F0722"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Fragile</w:t>
            </w:r>
          </w:p>
        </w:tc>
        <w:tc>
          <w:tcPr>
            <w:tcW w:w="1519" w:type="dxa"/>
          </w:tcPr>
          <w:p w14:paraId="041174A7" w14:textId="77777777" w:rsidR="009C2011" w:rsidRPr="00731BB3" w:rsidRDefault="009C2011" w:rsidP="009C2011">
            <w:pPr>
              <w:spacing w:line="276" w:lineRule="auto"/>
              <w:rPr>
                <w:rFonts w:ascii="Calibri" w:hAnsi="Calibri" w:cs="Calibri"/>
                <w:szCs w:val="21"/>
              </w:rPr>
            </w:pPr>
            <w:r w:rsidRPr="00731BB3">
              <w:rPr>
                <w:rFonts w:ascii="Calibri" w:hAnsi="Calibri" w:cs="Calibri"/>
                <w:szCs w:val="21"/>
              </w:rPr>
              <w:t>Angola</w:t>
            </w:r>
          </w:p>
        </w:tc>
      </w:tr>
    </w:tbl>
    <w:p w14:paraId="121FF129" w14:textId="77777777" w:rsidR="005D0A8A" w:rsidRPr="00731BB3" w:rsidRDefault="005D0A8A" w:rsidP="00674D19">
      <w:pPr>
        <w:spacing w:after="0"/>
        <w:rPr>
          <w:rFonts w:ascii="Calibri" w:hAnsi="Calibri" w:cs="Calibri"/>
        </w:rPr>
      </w:pPr>
    </w:p>
    <w:p w14:paraId="374CC238" w14:textId="3D39A5A3" w:rsidR="00C50DED" w:rsidRPr="00731BB3" w:rsidRDefault="00F033DE" w:rsidP="00797C11">
      <w:pPr>
        <w:pStyle w:val="Heading1"/>
        <w:spacing w:before="0"/>
        <w:rPr>
          <w:rFonts w:ascii="Calibri" w:hAnsi="Calibri" w:cs="Calibri"/>
        </w:rPr>
      </w:pPr>
      <w:r w:rsidRPr="00731BB3">
        <w:rPr>
          <w:rFonts w:ascii="Calibri" w:hAnsi="Calibri" w:cs="Calibri"/>
          <w:color w:val="203864"/>
        </w:rPr>
        <w:t>4</w:t>
      </w:r>
      <w:r w:rsidR="005D0A8A" w:rsidRPr="00731BB3">
        <w:rPr>
          <w:rFonts w:ascii="Calibri" w:hAnsi="Calibri" w:cs="Calibri"/>
          <w:color w:val="203864"/>
        </w:rPr>
        <w:t xml:space="preserve">. Model </w:t>
      </w:r>
      <w:r w:rsidR="00731BB3" w:rsidRPr="00731BB3">
        <w:rPr>
          <w:rFonts w:ascii="Calibri" w:hAnsi="Calibri" w:cs="Calibri"/>
          <w:color w:val="203864"/>
        </w:rPr>
        <w:t>D</w:t>
      </w:r>
      <w:r w:rsidR="005D0A8A" w:rsidRPr="00731BB3">
        <w:rPr>
          <w:rFonts w:ascii="Calibri" w:hAnsi="Calibri" w:cs="Calibri"/>
          <w:color w:val="203864"/>
        </w:rPr>
        <w:t xml:space="preserve">esign and </w:t>
      </w:r>
      <w:r w:rsidR="00731BB3" w:rsidRPr="00731BB3">
        <w:rPr>
          <w:rFonts w:ascii="Calibri" w:hAnsi="Calibri" w:cs="Calibri"/>
          <w:color w:val="203864"/>
        </w:rPr>
        <w:t>E</w:t>
      </w:r>
      <w:r w:rsidR="005D0A8A" w:rsidRPr="00731BB3">
        <w:rPr>
          <w:rFonts w:ascii="Calibri" w:hAnsi="Calibri" w:cs="Calibri"/>
          <w:color w:val="203864"/>
        </w:rPr>
        <w:t xml:space="preserve">conometric </w:t>
      </w:r>
      <w:r w:rsidR="00731BB3" w:rsidRPr="00731BB3">
        <w:rPr>
          <w:rFonts w:ascii="Calibri" w:hAnsi="Calibri" w:cs="Calibri"/>
          <w:color w:val="203864"/>
        </w:rPr>
        <w:t>L</w:t>
      </w:r>
      <w:r w:rsidR="005D0A8A" w:rsidRPr="00731BB3">
        <w:rPr>
          <w:rFonts w:ascii="Calibri" w:hAnsi="Calibri" w:cs="Calibri"/>
          <w:color w:val="203864"/>
        </w:rPr>
        <w:t>ogic</w:t>
      </w:r>
    </w:p>
    <w:p w14:paraId="082E2BBA" w14:textId="4BCCA56D" w:rsidR="003D6D7E" w:rsidRPr="00731BB3" w:rsidRDefault="00000000" w:rsidP="00797C11">
      <w:pPr>
        <w:spacing w:after="0"/>
        <w:rPr>
          <w:rFonts w:ascii="Calibri" w:hAnsi="Calibri" w:cs="Calibri"/>
          <w:sz w:val="22"/>
        </w:rPr>
      </w:pPr>
      <w:r w:rsidRPr="00731BB3">
        <w:rPr>
          <w:rFonts w:ascii="Calibri" w:hAnsi="Calibri" w:cs="Calibri"/>
          <w:szCs w:val="21"/>
        </w:rPr>
        <w:t>The dependent variable in Model 1 is the level of GDP per capita in logarithms. The log form is preferable because it compresses extreme values, makes many cross-country relationships more linear, and allows for a more stable interpretation of coefficients than absolute levels.</w:t>
      </w:r>
    </w:p>
    <w:p w14:paraId="00B9DD23" w14:textId="77777777" w:rsidR="003D6D7E" w:rsidRPr="00731BB3" w:rsidRDefault="003D6D7E" w:rsidP="00797C11">
      <w:pPr>
        <w:spacing w:after="0"/>
        <w:rPr>
          <w:rFonts w:ascii="Calibri" w:hAnsi="Calibri" w:cs="Calibri"/>
          <w:sz w:val="22"/>
        </w:rPr>
      </w:pPr>
    </w:p>
    <w:tbl>
      <w:tblPr>
        <w:tblW w:w="0" w:type="auto"/>
        <w:jc w:val="center"/>
        <w:tblLayout w:type="fixed"/>
        <w:tblLook w:val="04A0" w:firstRow="1" w:lastRow="0" w:firstColumn="1" w:lastColumn="0" w:noHBand="0" w:noVBand="1"/>
      </w:tblPr>
      <w:tblGrid>
        <w:gridCol w:w="9746"/>
      </w:tblGrid>
      <w:tr w:rsidR="00C50DED" w:rsidRPr="00731BB3" w14:paraId="29E01075" w14:textId="77777777">
        <w:trPr>
          <w:jc w:val="center"/>
        </w:trPr>
        <w:tc>
          <w:tcPr>
            <w:tcW w:w="9746" w:type="dxa"/>
            <w:shd w:val="clear" w:color="auto" w:fill="F7F9FB"/>
            <w:tcMar>
              <w:top w:w="110" w:type="dxa"/>
              <w:left w:w="120" w:type="dxa"/>
              <w:bottom w:w="110" w:type="dxa"/>
              <w:right w:w="120" w:type="dxa"/>
            </w:tcMar>
          </w:tcPr>
          <w:p w14:paraId="6EDF44D6" w14:textId="54BC075D"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Model 1</w:t>
            </w:r>
            <w:r w:rsidR="00D307D4" w:rsidRPr="00731BB3">
              <w:rPr>
                <w:rFonts w:ascii="Calibri" w:hAnsi="Calibri" w:cs="Calibri"/>
                <w:b/>
                <w:color w:val="203864"/>
                <w:sz w:val="23"/>
                <w:szCs w:val="23"/>
              </w:rPr>
              <w:t>.1</w:t>
            </w:r>
            <w:r w:rsidRPr="00731BB3">
              <w:rPr>
                <w:rFonts w:ascii="Calibri" w:hAnsi="Calibri" w:cs="Calibri"/>
                <w:b/>
                <w:color w:val="203864"/>
                <w:sz w:val="23"/>
                <w:szCs w:val="23"/>
              </w:rPr>
              <w:t xml:space="preserve"> — Baseline Development Model</w:t>
            </w:r>
          </w:p>
          <w:p w14:paraId="0660BD55" w14:textId="6165A18B"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 xml:space="preserve">Dependent variable: log GDP per capita. Regressors: governance </w:t>
            </w:r>
            <w:r w:rsidR="005A224E" w:rsidRPr="00731BB3">
              <w:rPr>
                <w:rFonts w:ascii="Calibri" w:hAnsi="Calibri" w:cs="Calibri"/>
                <w:szCs w:val="21"/>
              </w:rPr>
              <w:t>score</w:t>
            </w:r>
            <w:r w:rsidRPr="00731BB3">
              <w:rPr>
                <w:rFonts w:ascii="Calibri" w:hAnsi="Calibri" w:cs="Calibri"/>
                <w:szCs w:val="21"/>
              </w:rPr>
              <w:t>, HCI+ score, gross capital formation, trade openness.</w:t>
            </w:r>
          </w:p>
          <w:p w14:paraId="1F4CE69A" w14:textId="781ACDF5" w:rsidR="00C50DED" w:rsidRPr="00731BB3" w:rsidRDefault="00000000" w:rsidP="00797C11">
            <w:pPr>
              <w:spacing w:after="0"/>
              <w:rPr>
                <w:rFonts w:ascii="Calibri" w:hAnsi="Calibri" w:cs="Calibri"/>
                <w:szCs w:val="21"/>
              </w:rPr>
            </w:pPr>
            <w:r w:rsidRPr="00731BB3">
              <w:rPr>
                <w:rFonts w:ascii="Calibri" w:hAnsi="Calibri" w:cs="Calibri"/>
                <w:b/>
                <w:szCs w:val="21"/>
              </w:rPr>
              <w:lastRenderedPageBreak/>
              <w:t xml:space="preserve">Interpretation. </w:t>
            </w:r>
            <w:r w:rsidRPr="00731BB3">
              <w:rPr>
                <w:rFonts w:ascii="Calibri" w:hAnsi="Calibri" w:cs="Calibri"/>
                <w:bCs/>
                <w:szCs w:val="21"/>
              </w:rPr>
              <w:t xml:space="preserve">Tests the joint role of </w:t>
            </w:r>
            <w:r w:rsidR="005A224E" w:rsidRPr="00731BB3">
              <w:rPr>
                <w:rFonts w:ascii="Calibri" w:hAnsi="Calibri" w:cs="Calibri"/>
                <w:bCs/>
                <w:szCs w:val="21"/>
              </w:rPr>
              <w:t>governance</w:t>
            </w:r>
            <w:r w:rsidRPr="00731BB3">
              <w:rPr>
                <w:rFonts w:ascii="Calibri" w:hAnsi="Calibri" w:cs="Calibri"/>
                <w:bCs/>
                <w:szCs w:val="21"/>
              </w:rPr>
              <w:t>, human capital, accumulation, and trade openness as correlates of the level of development.</w:t>
            </w:r>
          </w:p>
          <w:p w14:paraId="3A255E49" w14:textId="77777777" w:rsidR="00DE343A" w:rsidRPr="00731BB3" w:rsidRDefault="00DE343A" w:rsidP="00797C11">
            <w:pPr>
              <w:spacing w:after="0"/>
              <w:rPr>
                <w:rFonts w:ascii="Calibri" w:hAnsi="Calibri" w:cs="Calibri"/>
                <w:szCs w:val="21"/>
              </w:rPr>
            </w:pPr>
          </w:p>
          <w:p w14:paraId="484C1575" w14:textId="4EFEC421" w:rsidR="00DE343A" w:rsidRPr="00731BB3" w:rsidRDefault="005D0A8A" w:rsidP="005D0A8A">
            <w:pPr>
              <w:tabs>
                <w:tab w:val="left" w:pos="2127"/>
              </w:tabs>
              <w:spacing w:after="0" w:line="240" w:lineRule="auto"/>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 + β3 GCF_i + β4 Trade_i + ε_i</w:t>
            </w:r>
          </w:p>
        </w:tc>
      </w:tr>
    </w:tbl>
    <w:p w14:paraId="13E42203"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3FEB6A1A" w14:textId="77777777">
        <w:trPr>
          <w:jc w:val="center"/>
        </w:trPr>
        <w:tc>
          <w:tcPr>
            <w:tcW w:w="9746" w:type="dxa"/>
            <w:shd w:val="clear" w:color="auto" w:fill="F7F9FB"/>
            <w:tcMar>
              <w:top w:w="110" w:type="dxa"/>
              <w:left w:w="120" w:type="dxa"/>
              <w:bottom w:w="110" w:type="dxa"/>
              <w:right w:w="120" w:type="dxa"/>
            </w:tcMar>
          </w:tcPr>
          <w:p w14:paraId="31F987D6" w14:textId="03A14057"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2a — Structure of the Economy (Manufacturing only)</w:t>
            </w:r>
          </w:p>
          <w:p w14:paraId="4CDCDFCD"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manufacturing value added share.</w:t>
            </w:r>
          </w:p>
          <w:p w14:paraId="57DCD5A8" w14:textId="01E149B7" w:rsidR="00C50DED" w:rsidRPr="00731BB3" w:rsidRDefault="00000000" w:rsidP="00797C11">
            <w:pPr>
              <w:spacing w:after="0"/>
              <w:rPr>
                <w:rFonts w:ascii="Calibri" w:hAnsi="Calibri" w:cs="Calibri"/>
                <w:bCs/>
                <w:szCs w:val="21"/>
              </w:rPr>
            </w:pPr>
            <w:r w:rsidRPr="00731BB3">
              <w:rPr>
                <w:rFonts w:ascii="Calibri" w:hAnsi="Calibri" w:cs="Calibri"/>
                <w:b/>
                <w:szCs w:val="21"/>
              </w:rPr>
              <w:t xml:space="preserve">Interpretation. </w:t>
            </w:r>
            <w:r w:rsidRPr="00731BB3">
              <w:rPr>
                <w:rFonts w:ascii="Calibri" w:hAnsi="Calibri" w:cs="Calibri"/>
                <w:bCs/>
                <w:szCs w:val="21"/>
              </w:rPr>
              <w:t xml:space="preserve">Assesses whether a higher manufacturing share is associated with the income level, conditional on </w:t>
            </w:r>
            <w:r w:rsidR="005A224E" w:rsidRPr="00731BB3">
              <w:rPr>
                <w:rFonts w:ascii="Calibri" w:hAnsi="Calibri" w:cs="Calibri"/>
                <w:bCs/>
                <w:szCs w:val="21"/>
              </w:rPr>
              <w:t>governance</w:t>
            </w:r>
            <w:r w:rsidRPr="00731BB3">
              <w:rPr>
                <w:rFonts w:ascii="Calibri" w:hAnsi="Calibri" w:cs="Calibri"/>
                <w:bCs/>
                <w:szCs w:val="21"/>
              </w:rPr>
              <w:t>, human capital, investment, and trade.</w:t>
            </w:r>
          </w:p>
          <w:p w14:paraId="37EB049A" w14:textId="77777777" w:rsidR="005D0A8A" w:rsidRPr="00731BB3" w:rsidRDefault="005D0A8A" w:rsidP="00797C11">
            <w:pPr>
              <w:spacing w:after="0"/>
              <w:rPr>
                <w:rFonts w:ascii="Calibri" w:hAnsi="Calibri" w:cs="Calibri"/>
                <w:szCs w:val="21"/>
              </w:rPr>
            </w:pPr>
          </w:p>
          <w:p w14:paraId="5082AB1D" w14:textId="2E43987A" w:rsidR="005D0A8A" w:rsidRPr="00731BB3" w:rsidRDefault="005D0A8A" w:rsidP="00797C11">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 + β3 GCF_i + β4 Trade_i</w:t>
            </w:r>
            <w:r w:rsidR="00581F49" w:rsidRPr="00731BB3">
              <w:rPr>
                <w:rFonts w:ascii="Calibri" w:hAnsi="Calibri" w:cs="Calibri"/>
              </w:rPr>
              <w:t xml:space="preserve"> </w:t>
            </w:r>
            <w:r w:rsidRPr="00731BB3">
              <w:rPr>
                <w:rFonts w:ascii="Calibri" w:hAnsi="Calibri" w:cs="Calibri"/>
              </w:rPr>
              <w:t>+ β5 Manufacturing_i</w:t>
            </w:r>
            <w:r w:rsidRPr="00731BB3">
              <w:rPr>
                <w:rFonts w:ascii="Calibri" w:hAnsi="Calibri" w:cs="Calibri"/>
                <w:szCs w:val="21"/>
              </w:rPr>
              <w:t xml:space="preserve"> </w:t>
            </w:r>
            <w:r w:rsidRPr="00731BB3">
              <w:rPr>
                <w:rFonts w:ascii="Calibri" w:hAnsi="Calibri" w:cs="Calibri"/>
              </w:rPr>
              <w:t>+ ε_i</w:t>
            </w:r>
          </w:p>
        </w:tc>
      </w:tr>
    </w:tbl>
    <w:p w14:paraId="455236DF"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5D10C9BF" w14:textId="77777777">
        <w:trPr>
          <w:jc w:val="center"/>
        </w:trPr>
        <w:tc>
          <w:tcPr>
            <w:tcW w:w="9746" w:type="dxa"/>
            <w:shd w:val="clear" w:color="auto" w:fill="F7F9FB"/>
            <w:tcMar>
              <w:top w:w="110" w:type="dxa"/>
              <w:left w:w="120" w:type="dxa"/>
              <w:bottom w:w="110" w:type="dxa"/>
              <w:right w:w="120" w:type="dxa"/>
            </w:tcMar>
          </w:tcPr>
          <w:p w14:paraId="7E0FD12A" w14:textId="68D1DD23"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2b — Structure of the Economy (Services only)</w:t>
            </w:r>
          </w:p>
          <w:p w14:paraId="3FD83563"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services value added share.</w:t>
            </w:r>
          </w:p>
          <w:p w14:paraId="3BB72386"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Assesses whether a higher services share is associated with the level of income.</w:t>
            </w:r>
          </w:p>
          <w:p w14:paraId="0DBF147C" w14:textId="77777777" w:rsidR="005D0A8A" w:rsidRPr="00731BB3" w:rsidRDefault="005D0A8A" w:rsidP="00797C11">
            <w:pPr>
              <w:spacing w:after="0"/>
              <w:rPr>
                <w:rFonts w:ascii="Calibri" w:hAnsi="Calibri" w:cs="Calibri"/>
                <w:szCs w:val="21"/>
              </w:rPr>
            </w:pPr>
          </w:p>
          <w:p w14:paraId="6484FDFD" w14:textId="7EF79FC2" w:rsidR="005D0A8A" w:rsidRPr="00731BB3" w:rsidRDefault="005D0A8A" w:rsidP="005D0A8A">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w:t>
            </w:r>
            <w:r w:rsidR="00581F49" w:rsidRPr="00731BB3">
              <w:rPr>
                <w:rFonts w:ascii="Calibri" w:hAnsi="Calibri" w:cs="Calibri"/>
              </w:rPr>
              <w:t>i</w:t>
            </w:r>
            <w:r w:rsidRPr="00731BB3">
              <w:rPr>
                <w:rFonts w:ascii="Calibri" w:hAnsi="Calibri" w:cs="Calibri"/>
              </w:rPr>
              <w:t xml:space="preserve"> + β2 HC_i + β3 GCF_i + β4 Trade_i + β5 Services_i</w:t>
            </w:r>
            <w:r w:rsidRPr="00731BB3">
              <w:rPr>
                <w:rFonts w:ascii="Calibri" w:hAnsi="Calibri" w:cs="Calibri"/>
                <w:szCs w:val="21"/>
              </w:rPr>
              <w:t xml:space="preserve"> </w:t>
            </w:r>
            <w:r w:rsidRPr="00731BB3">
              <w:rPr>
                <w:rFonts w:ascii="Calibri" w:hAnsi="Calibri" w:cs="Calibri"/>
              </w:rPr>
              <w:t>+ ε_i</w:t>
            </w:r>
          </w:p>
        </w:tc>
      </w:tr>
    </w:tbl>
    <w:p w14:paraId="0B83CA50" w14:textId="77777777" w:rsidR="00581F49" w:rsidRPr="00731BB3" w:rsidRDefault="00581F49"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61C0078C" w14:textId="77777777">
        <w:trPr>
          <w:jc w:val="center"/>
        </w:trPr>
        <w:tc>
          <w:tcPr>
            <w:tcW w:w="9746" w:type="dxa"/>
            <w:shd w:val="clear" w:color="auto" w:fill="F7F9FB"/>
            <w:tcMar>
              <w:top w:w="110" w:type="dxa"/>
              <w:left w:w="120" w:type="dxa"/>
              <w:bottom w:w="110" w:type="dxa"/>
              <w:right w:w="120" w:type="dxa"/>
            </w:tcMar>
          </w:tcPr>
          <w:p w14:paraId="0F280350" w14:textId="45A0B7CB"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2c — Structure of the Economy (Manufacturing and Services)</w:t>
            </w:r>
          </w:p>
          <w:p w14:paraId="0D13D9D3"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manufacturing share + services share.</w:t>
            </w:r>
          </w:p>
          <w:p w14:paraId="40CDB242"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A richer but also more delicate specification, because sectoral shares are compositional and may introduce instability or collinearity.</w:t>
            </w:r>
          </w:p>
          <w:p w14:paraId="5D05FE81" w14:textId="77777777" w:rsidR="005D0A8A" w:rsidRPr="00731BB3" w:rsidRDefault="005D0A8A" w:rsidP="00797C11">
            <w:pPr>
              <w:spacing w:after="0"/>
              <w:rPr>
                <w:rFonts w:ascii="Calibri" w:hAnsi="Calibri" w:cs="Calibri"/>
                <w:szCs w:val="21"/>
              </w:rPr>
            </w:pPr>
          </w:p>
          <w:p w14:paraId="4D982B40" w14:textId="1FC06BA3" w:rsidR="005D0A8A" w:rsidRPr="00731BB3" w:rsidRDefault="005D0A8A" w:rsidP="005D0A8A">
            <w:pPr>
              <w:spacing w:after="0"/>
              <w:rPr>
                <w:rFonts w:ascii="Calibri" w:hAnsi="Calibri" w:cs="Calibri"/>
                <w:szCs w:val="21"/>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 + β2 HC_i</w:t>
            </w:r>
            <w:r w:rsidR="00581F49" w:rsidRPr="00731BB3">
              <w:rPr>
                <w:rFonts w:ascii="Calibri" w:hAnsi="Calibri" w:cs="Calibri"/>
              </w:rPr>
              <w:t xml:space="preserve"> </w:t>
            </w:r>
            <w:r w:rsidRPr="00731BB3">
              <w:rPr>
                <w:rFonts w:ascii="Calibri" w:hAnsi="Calibri" w:cs="Calibri"/>
              </w:rPr>
              <w:t>+ β3 GCF_i</w:t>
            </w:r>
            <w:r w:rsidR="00581F49" w:rsidRPr="00731BB3">
              <w:rPr>
                <w:rFonts w:ascii="Calibri" w:hAnsi="Calibri" w:cs="Calibri"/>
              </w:rPr>
              <w:t xml:space="preserve"> </w:t>
            </w:r>
            <w:r w:rsidRPr="00731BB3">
              <w:rPr>
                <w:rFonts w:ascii="Calibri" w:hAnsi="Calibri" w:cs="Calibri"/>
              </w:rPr>
              <w:t>+ β4 Trade_i + β5 Manufacturing_i + β6 Services_i</w:t>
            </w:r>
            <w:r w:rsidRPr="00731BB3">
              <w:rPr>
                <w:rFonts w:ascii="Calibri" w:hAnsi="Calibri" w:cs="Calibri"/>
                <w:szCs w:val="21"/>
              </w:rPr>
              <w:t xml:space="preserve"> </w:t>
            </w:r>
            <w:r w:rsidRPr="00731BB3">
              <w:rPr>
                <w:rFonts w:ascii="Calibri" w:hAnsi="Calibri" w:cs="Calibri"/>
              </w:rPr>
              <w:t>+ ε_i</w:t>
            </w:r>
          </w:p>
        </w:tc>
      </w:tr>
    </w:tbl>
    <w:p w14:paraId="1EEE62C6"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7113F2F6" w14:textId="77777777">
        <w:trPr>
          <w:jc w:val="center"/>
        </w:trPr>
        <w:tc>
          <w:tcPr>
            <w:tcW w:w="9746" w:type="dxa"/>
            <w:shd w:val="clear" w:color="auto" w:fill="F7F9FB"/>
            <w:tcMar>
              <w:top w:w="110" w:type="dxa"/>
              <w:left w:w="120" w:type="dxa"/>
              <w:bottom w:w="110" w:type="dxa"/>
              <w:right w:w="120" w:type="dxa"/>
            </w:tcMar>
          </w:tcPr>
          <w:p w14:paraId="3A500266" w14:textId="41FC654F"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3 — Resource Curse with Interaction</w:t>
            </w:r>
          </w:p>
          <w:p w14:paraId="2A78CCF0"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total natural resource rents + governance × natural resource rents.</w:t>
            </w:r>
          </w:p>
          <w:p w14:paraId="0BE5B9FB" w14:textId="5FD15FA4" w:rsidR="005D0A8A"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Tests whether the effect of natural resources depends on institutional quality, rather than assuming the same impact for all countries.</w:t>
            </w:r>
          </w:p>
          <w:p w14:paraId="3A74B07A" w14:textId="77777777" w:rsidR="005D0A8A" w:rsidRPr="00731BB3" w:rsidRDefault="005D0A8A" w:rsidP="00797C11">
            <w:pPr>
              <w:spacing w:after="0"/>
              <w:rPr>
                <w:rFonts w:ascii="Calibri" w:hAnsi="Calibri" w:cs="Calibri"/>
                <w:szCs w:val="21"/>
              </w:rPr>
            </w:pPr>
          </w:p>
          <w:p w14:paraId="775ACA68" w14:textId="57DD4E96" w:rsidR="005D0A8A" w:rsidRPr="00731BB3" w:rsidRDefault="005D0A8A" w:rsidP="005D0A8A">
            <w:pPr>
              <w:tabs>
                <w:tab w:val="left" w:pos="2127"/>
              </w:tabs>
              <w:spacing w:after="0" w:line="240" w:lineRule="auto"/>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 xml:space="preserve">_i + </w:t>
            </w:r>
            <w:r w:rsidR="00581F49" w:rsidRPr="00731BB3">
              <w:rPr>
                <w:rFonts w:ascii="Calibri" w:hAnsi="Calibri" w:cs="Calibri"/>
              </w:rPr>
              <w:t xml:space="preserve">β2 HC_i + β3 GCF_i + β4 Trade_i + </w:t>
            </w:r>
            <w:r w:rsidRPr="00731BB3">
              <w:rPr>
                <w:rFonts w:ascii="Calibri" w:hAnsi="Calibri" w:cs="Calibri"/>
              </w:rPr>
              <w:t>β</w:t>
            </w:r>
            <w:r w:rsidR="00581F49" w:rsidRPr="00731BB3">
              <w:rPr>
                <w:rFonts w:ascii="Calibri" w:hAnsi="Calibri" w:cs="Calibri"/>
              </w:rPr>
              <w:t>5</w:t>
            </w:r>
            <w:r w:rsidRPr="00731BB3">
              <w:rPr>
                <w:rFonts w:ascii="Calibri" w:hAnsi="Calibri" w:cs="Calibri"/>
              </w:rPr>
              <w:t xml:space="preserve"> Rents_</w:t>
            </w:r>
            <w:r w:rsidR="00581F49" w:rsidRPr="00731BB3">
              <w:rPr>
                <w:rFonts w:ascii="Calibri" w:hAnsi="Calibri" w:cs="Calibri"/>
              </w:rPr>
              <w:t>i</w:t>
            </w:r>
            <w:r w:rsidRPr="00731BB3">
              <w:rPr>
                <w:rFonts w:ascii="Calibri" w:hAnsi="Calibri" w:cs="Calibri"/>
              </w:rPr>
              <w:t xml:space="preserve"> + β</w:t>
            </w:r>
            <w:r w:rsidR="00581F49" w:rsidRPr="00731BB3">
              <w:rPr>
                <w:rFonts w:ascii="Calibri" w:hAnsi="Calibri" w:cs="Calibri"/>
              </w:rPr>
              <w:t>6</w:t>
            </w:r>
            <w:r w:rsidRPr="00731BB3">
              <w:rPr>
                <w:rFonts w:ascii="Calibri" w:hAnsi="Calibri" w:cs="Calibri"/>
              </w:rPr>
              <w:t xml:space="preserve"> (</w:t>
            </w:r>
            <w:r w:rsidR="005A224E" w:rsidRPr="00731BB3">
              <w:rPr>
                <w:rFonts w:ascii="Calibri" w:hAnsi="Calibri" w:cs="Calibri"/>
              </w:rPr>
              <w:t>Gov</w:t>
            </w:r>
            <w:r w:rsidRPr="00731BB3">
              <w:rPr>
                <w:rFonts w:ascii="Calibri" w:hAnsi="Calibri" w:cs="Calibri"/>
              </w:rPr>
              <w:t>×Rents)_i + ε_i</w:t>
            </w:r>
          </w:p>
        </w:tc>
      </w:tr>
    </w:tbl>
    <w:p w14:paraId="255CB8E3" w14:textId="77777777" w:rsidR="00C50DED" w:rsidRPr="00731BB3" w:rsidRDefault="00C50DED" w:rsidP="00797C11">
      <w:pPr>
        <w:spacing w:after="0"/>
        <w:rPr>
          <w:rFonts w:ascii="Calibri" w:hAnsi="Calibri" w:cs="Calibri"/>
        </w:rPr>
      </w:pPr>
    </w:p>
    <w:tbl>
      <w:tblPr>
        <w:tblW w:w="0" w:type="auto"/>
        <w:jc w:val="center"/>
        <w:tblLayout w:type="fixed"/>
        <w:tblLook w:val="04A0" w:firstRow="1" w:lastRow="0" w:firstColumn="1" w:lastColumn="0" w:noHBand="0" w:noVBand="1"/>
      </w:tblPr>
      <w:tblGrid>
        <w:gridCol w:w="9746"/>
      </w:tblGrid>
      <w:tr w:rsidR="00C50DED" w:rsidRPr="00731BB3" w14:paraId="50CC2697" w14:textId="77777777">
        <w:trPr>
          <w:jc w:val="center"/>
        </w:trPr>
        <w:tc>
          <w:tcPr>
            <w:tcW w:w="9746" w:type="dxa"/>
            <w:shd w:val="clear" w:color="auto" w:fill="F7F9FB"/>
            <w:tcMar>
              <w:top w:w="110" w:type="dxa"/>
              <w:left w:w="120" w:type="dxa"/>
              <w:bottom w:w="110" w:type="dxa"/>
              <w:right w:w="120" w:type="dxa"/>
            </w:tcMar>
          </w:tcPr>
          <w:p w14:paraId="712D9722" w14:textId="1FA7C947" w:rsidR="00C50DED" w:rsidRPr="00731BB3" w:rsidRDefault="00000000" w:rsidP="00797C11">
            <w:pPr>
              <w:spacing w:after="0"/>
              <w:rPr>
                <w:rFonts w:ascii="Calibri" w:hAnsi="Calibri" w:cs="Calibri"/>
                <w:sz w:val="23"/>
                <w:szCs w:val="23"/>
              </w:rPr>
            </w:pPr>
            <w:r w:rsidRPr="00731BB3">
              <w:rPr>
                <w:rFonts w:ascii="Calibri" w:hAnsi="Calibri" w:cs="Calibri"/>
                <w:b/>
                <w:color w:val="203864"/>
                <w:sz w:val="23"/>
                <w:szCs w:val="23"/>
              </w:rPr>
              <w:t xml:space="preserve">Model </w:t>
            </w:r>
            <w:r w:rsidR="00D307D4" w:rsidRPr="00731BB3">
              <w:rPr>
                <w:rFonts w:ascii="Calibri" w:hAnsi="Calibri" w:cs="Calibri"/>
                <w:b/>
                <w:color w:val="203864"/>
                <w:sz w:val="23"/>
                <w:szCs w:val="23"/>
              </w:rPr>
              <w:t>1.</w:t>
            </w:r>
            <w:r w:rsidRPr="00731BB3">
              <w:rPr>
                <w:rFonts w:ascii="Calibri" w:hAnsi="Calibri" w:cs="Calibri"/>
                <w:b/>
                <w:color w:val="203864"/>
                <w:sz w:val="23"/>
                <w:szCs w:val="23"/>
              </w:rPr>
              <w:t>4 — Expanded Baseline with Resources and FDI</w:t>
            </w:r>
          </w:p>
          <w:p w14:paraId="7D0BD5CE"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Specification. </w:t>
            </w:r>
            <w:r w:rsidRPr="00731BB3">
              <w:rPr>
                <w:rFonts w:ascii="Calibri" w:hAnsi="Calibri" w:cs="Calibri"/>
                <w:szCs w:val="21"/>
              </w:rPr>
              <w:t>Baseline regressors + total natural resource rents + FDI inflows.</w:t>
            </w:r>
          </w:p>
          <w:p w14:paraId="6E98109A" w14:textId="77777777" w:rsidR="00C50DED" w:rsidRPr="00731BB3" w:rsidRDefault="00000000" w:rsidP="00797C11">
            <w:pPr>
              <w:spacing w:after="0"/>
              <w:rPr>
                <w:rFonts w:ascii="Calibri" w:hAnsi="Calibri" w:cs="Calibri"/>
                <w:szCs w:val="21"/>
              </w:rPr>
            </w:pPr>
            <w:r w:rsidRPr="00731BB3">
              <w:rPr>
                <w:rFonts w:ascii="Calibri" w:hAnsi="Calibri" w:cs="Calibri"/>
                <w:b/>
                <w:szCs w:val="21"/>
              </w:rPr>
              <w:t xml:space="preserve">Interpretation. </w:t>
            </w:r>
            <w:r w:rsidRPr="00731BB3">
              <w:rPr>
                <w:rFonts w:ascii="Calibri" w:hAnsi="Calibri" w:cs="Calibri"/>
                <w:bCs/>
                <w:szCs w:val="21"/>
              </w:rPr>
              <w:t>Measures whether the income level reflects both resource dependence and the role of foreign capital, without adding sectoral shares.</w:t>
            </w:r>
          </w:p>
          <w:p w14:paraId="5760C555" w14:textId="77777777" w:rsidR="005D0A8A" w:rsidRPr="00731BB3" w:rsidRDefault="005D0A8A" w:rsidP="00797C11">
            <w:pPr>
              <w:spacing w:after="0"/>
              <w:rPr>
                <w:rFonts w:ascii="Calibri" w:hAnsi="Calibri" w:cs="Calibri"/>
                <w:szCs w:val="21"/>
              </w:rPr>
            </w:pPr>
          </w:p>
          <w:p w14:paraId="4A1633C0" w14:textId="6BF2302A" w:rsidR="005D0A8A" w:rsidRPr="00731BB3" w:rsidRDefault="005D0A8A" w:rsidP="00797C11">
            <w:pPr>
              <w:spacing w:after="0"/>
              <w:rPr>
                <w:rFonts w:ascii="Calibri" w:hAnsi="Calibri" w:cs="Calibri"/>
              </w:rPr>
            </w:pPr>
            <w:r w:rsidRPr="00731BB3">
              <w:rPr>
                <w:rFonts w:ascii="Calibri" w:hAnsi="Calibri" w:cs="Calibri"/>
              </w:rPr>
              <w:t xml:space="preserve">log(GDPpc_i) = α + β1 </w:t>
            </w:r>
            <w:r w:rsidR="005A224E" w:rsidRPr="00731BB3">
              <w:rPr>
                <w:rFonts w:ascii="Calibri" w:hAnsi="Calibri" w:cs="Calibri"/>
              </w:rPr>
              <w:t>Gov</w:t>
            </w:r>
            <w:r w:rsidRPr="00731BB3">
              <w:rPr>
                <w:rFonts w:ascii="Calibri" w:hAnsi="Calibri" w:cs="Calibri"/>
              </w:rPr>
              <w:t>_i</w:t>
            </w:r>
            <w:r w:rsidR="00581F49" w:rsidRPr="00731BB3">
              <w:rPr>
                <w:rFonts w:ascii="Calibri" w:hAnsi="Calibri" w:cs="Calibri"/>
              </w:rPr>
              <w:t xml:space="preserve"> </w:t>
            </w:r>
            <w:r w:rsidRPr="00731BB3">
              <w:rPr>
                <w:rFonts w:ascii="Calibri" w:hAnsi="Calibri" w:cs="Calibri"/>
              </w:rPr>
              <w:t>+ β2 HC_i</w:t>
            </w:r>
            <w:r w:rsidR="00581F49" w:rsidRPr="00731BB3">
              <w:rPr>
                <w:rFonts w:ascii="Calibri" w:hAnsi="Calibri" w:cs="Calibri"/>
              </w:rPr>
              <w:t xml:space="preserve"> </w:t>
            </w:r>
            <w:r w:rsidRPr="00731BB3">
              <w:rPr>
                <w:rFonts w:ascii="Calibri" w:hAnsi="Calibri" w:cs="Calibri"/>
              </w:rPr>
              <w:t>+ β3 GCF_i + β4 Trade_i + β5 Rents_i + β6 FDI_i + ε_i</w:t>
            </w:r>
          </w:p>
        </w:tc>
      </w:tr>
    </w:tbl>
    <w:p w14:paraId="0020F499" w14:textId="77777777" w:rsidR="00731BB3" w:rsidRPr="00731BB3" w:rsidRDefault="00731BB3" w:rsidP="00731BB3">
      <w:pPr>
        <w:rPr>
          <w:rFonts w:ascii="Calibri" w:hAnsi="Calibri" w:cs="Calibri"/>
        </w:rPr>
      </w:pPr>
    </w:p>
    <w:p w14:paraId="39439522" w14:textId="77777777" w:rsidR="00731BB3" w:rsidRPr="00731BB3" w:rsidRDefault="00731BB3" w:rsidP="00731BB3">
      <w:pPr>
        <w:rPr>
          <w:rFonts w:ascii="Calibri" w:hAnsi="Calibri" w:cs="Calibri"/>
        </w:rPr>
      </w:pPr>
    </w:p>
    <w:p w14:paraId="60F5F23C" w14:textId="77777777" w:rsidR="00731BB3" w:rsidRPr="00731BB3" w:rsidRDefault="00000000" w:rsidP="00731BB3">
      <w:pPr>
        <w:spacing w:after="0"/>
        <w:rPr>
          <w:rFonts w:ascii="Calibri" w:hAnsi="Calibri" w:cs="Calibri"/>
          <w:b/>
          <w:bCs/>
          <w:sz w:val="23"/>
          <w:szCs w:val="23"/>
        </w:rPr>
      </w:pPr>
      <w:r w:rsidRPr="00731BB3">
        <w:rPr>
          <w:rFonts w:ascii="Calibri" w:hAnsi="Calibri" w:cs="Calibri"/>
          <w:b/>
          <w:bCs/>
          <w:sz w:val="23"/>
          <w:szCs w:val="23"/>
        </w:rPr>
        <w:lastRenderedPageBreak/>
        <w:t xml:space="preserve">Why </w:t>
      </w:r>
      <w:r w:rsidR="00731BB3" w:rsidRPr="00731BB3">
        <w:rPr>
          <w:rFonts w:ascii="Calibri" w:hAnsi="Calibri" w:cs="Calibri"/>
          <w:b/>
          <w:bCs/>
          <w:sz w:val="23"/>
          <w:szCs w:val="23"/>
        </w:rPr>
        <w:t>M</w:t>
      </w:r>
      <w:r w:rsidRPr="00731BB3">
        <w:rPr>
          <w:rFonts w:ascii="Calibri" w:hAnsi="Calibri" w:cs="Calibri"/>
          <w:b/>
          <w:bCs/>
          <w:sz w:val="23"/>
          <w:szCs w:val="23"/>
        </w:rPr>
        <w:t xml:space="preserve">anufacturing and </w:t>
      </w:r>
      <w:r w:rsidR="00731BB3" w:rsidRPr="00731BB3">
        <w:rPr>
          <w:rFonts w:ascii="Calibri" w:hAnsi="Calibri" w:cs="Calibri"/>
          <w:b/>
          <w:bCs/>
          <w:sz w:val="23"/>
          <w:szCs w:val="23"/>
        </w:rPr>
        <w:t>S</w:t>
      </w:r>
      <w:r w:rsidRPr="00731BB3">
        <w:rPr>
          <w:rFonts w:ascii="Calibri" w:hAnsi="Calibri" w:cs="Calibri"/>
          <w:b/>
          <w:bCs/>
          <w:sz w:val="23"/>
          <w:szCs w:val="23"/>
        </w:rPr>
        <w:t>ervices should be tested separately first</w:t>
      </w:r>
    </w:p>
    <w:p w14:paraId="4AC4F48D" w14:textId="2FA4D115" w:rsidR="00C50DED" w:rsidRPr="00731BB3" w:rsidRDefault="00000000" w:rsidP="00731BB3">
      <w:pPr>
        <w:spacing w:after="0"/>
        <w:rPr>
          <w:rFonts w:ascii="Calibri" w:hAnsi="Calibri" w:cs="Calibri"/>
          <w:b/>
          <w:bCs/>
        </w:rPr>
      </w:pPr>
      <w:r w:rsidRPr="00731BB3">
        <w:rPr>
          <w:rFonts w:ascii="Calibri" w:hAnsi="Calibri" w:cs="Calibri"/>
          <w:szCs w:val="21"/>
        </w:rPr>
        <w:t xml:space="preserve">Manufacturing share and services share </w:t>
      </w:r>
      <w:r w:rsidR="005A224E" w:rsidRPr="00731BB3">
        <w:rPr>
          <w:rFonts w:ascii="Calibri" w:hAnsi="Calibri" w:cs="Calibri"/>
          <w:szCs w:val="21"/>
        </w:rPr>
        <w:t>are</w:t>
      </w:r>
      <w:r w:rsidR="000F1062" w:rsidRPr="00731BB3">
        <w:rPr>
          <w:rFonts w:ascii="Calibri" w:hAnsi="Calibri" w:cs="Calibri"/>
          <w:szCs w:val="21"/>
        </w:rPr>
        <w:t xml:space="preserve"> not</w:t>
      </w:r>
      <w:r w:rsidRPr="00731BB3">
        <w:rPr>
          <w:rFonts w:ascii="Calibri" w:hAnsi="Calibri" w:cs="Calibri"/>
          <w:szCs w:val="21"/>
        </w:rPr>
        <w:t xml:space="preserve"> treated as two harmless regressors like any others: they are shares of the productive structure, so they may move in a mirror-like way or, in any case, not independently. For this reason, two separate models (manufacturing only and services only) </w:t>
      </w:r>
      <w:r w:rsidR="000F1062" w:rsidRPr="00731BB3">
        <w:rPr>
          <w:rFonts w:ascii="Calibri" w:hAnsi="Calibri" w:cs="Calibri"/>
          <w:szCs w:val="21"/>
        </w:rPr>
        <w:t xml:space="preserve">are implemented </w:t>
      </w:r>
      <w:r w:rsidRPr="00731BB3">
        <w:rPr>
          <w:rFonts w:ascii="Calibri" w:hAnsi="Calibri" w:cs="Calibri"/>
          <w:szCs w:val="21"/>
        </w:rPr>
        <w:t xml:space="preserve">and only then a third model with both variables. </w:t>
      </w:r>
      <w:r w:rsidR="00F033DE" w:rsidRPr="00731BB3">
        <w:rPr>
          <w:rFonts w:ascii="Calibri" w:hAnsi="Calibri" w:cs="Calibri"/>
          <w:szCs w:val="21"/>
        </w:rPr>
        <w:t xml:space="preserve">This allows a clearer distinction between </w:t>
      </w:r>
      <w:r w:rsidRPr="00731BB3">
        <w:rPr>
          <w:rFonts w:ascii="Calibri" w:hAnsi="Calibri" w:cs="Calibri"/>
          <w:szCs w:val="21"/>
        </w:rPr>
        <w:t>a specific effect from manufacturing, a specific effect from services, and the behavior of the coefficients when both shares compete within the same model.</w:t>
      </w:r>
    </w:p>
    <w:p w14:paraId="00E690FB" w14:textId="2FBBD165" w:rsidR="00C50DED" w:rsidRPr="00731BB3" w:rsidRDefault="00000000" w:rsidP="00797C11">
      <w:pPr>
        <w:pStyle w:val="Heading2"/>
        <w:rPr>
          <w:rFonts w:ascii="Calibri" w:hAnsi="Calibri" w:cs="Calibri"/>
          <w:sz w:val="25"/>
          <w:szCs w:val="25"/>
        </w:rPr>
      </w:pPr>
      <w:r w:rsidRPr="00731BB3">
        <w:rPr>
          <w:rFonts w:ascii="Calibri" w:hAnsi="Calibri" w:cs="Calibri"/>
          <w:color w:val="2F5597"/>
          <w:sz w:val="25"/>
          <w:szCs w:val="25"/>
        </w:rPr>
        <w:t xml:space="preserve">Growth </w:t>
      </w:r>
      <w:r w:rsidR="00731BB3" w:rsidRPr="00731BB3">
        <w:rPr>
          <w:rFonts w:ascii="Calibri" w:hAnsi="Calibri" w:cs="Calibri"/>
          <w:color w:val="2F5597"/>
          <w:sz w:val="25"/>
          <w:szCs w:val="25"/>
        </w:rPr>
        <w:t>M</w:t>
      </w:r>
      <w:r w:rsidRPr="00731BB3">
        <w:rPr>
          <w:rFonts w:ascii="Calibri" w:hAnsi="Calibri" w:cs="Calibri"/>
          <w:color w:val="2F5597"/>
          <w:sz w:val="25"/>
          <w:szCs w:val="25"/>
        </w:rPr>
        <w:t>odel (Model 2)</w:t>
      </w:r>
    </w:p>
    <w:p w14:paraId="1DCEAEE8" w14:textId="1E47A56C" w:rsidR="00797C11" w:rsidRPr="00731BB3" w:rsidRDefault="00A33E7A" w:rsidP="00797C11">
      <w:pPr>
        <w:spacing w:after="0"/>
        <w:rPr>
          <w:rFonts w:ascii="Calibri" w:hAnsi="Calibri" w:cs="Calibri"/>
          <w:szCs w:val="21"/>
        </w:rPr>
      </w:pPr>
      <w:r w:rsidRPr="00731BB3">
        <w:rPr>
          <w:rFonts w:ascii="Calibri" w:hAnsi="Calibri" w:cs="Calibri"/>
          <w:szCs w:val="21"/>
        </w:rPr>
        <w:t>The</w:t>
      </w:r>
      <w:r w:rsidR="000F1062" w:rsidRPr="00731BB3">
        <w:rPr>
          <w:rFonts w:ascii="Calibri" w:hAnsi="Calibri" w:cs="Calibri"/>
          <w:szCs w:val="21"/>
        </w:rPr>
        <w:t xml:space="preserve"> analy</w:t>
      </w:r>
      <w:r w:rsidRPr="00731BB3">
        <w:rPr>
          <w:rFonts w:ascii="Calibri" w:hAnsi="Calibri" w:cs="Calibri"/>
          <w:szCs w:val="21"/>
        </w:rPr>
        <w:t>tical framework</w:t>
      </w:r>
      <w:r w:rsidR="000F1062" w:rsidRPr="00731BB3">
        <w:rPr>
          <w:rFonts w:ascii="Calibri" w:hAnsi="Calibri" w:cs="Calibri"/>
          <w:szCs w:val="21"/>
        </w:rPr>
        <w:t xml:space="preserve"> is </w:t>
      </w:r>
      <w:r w:rsidRPr="00731BB3">
        <w:rPr>
          <w:rFonts w:ascii="Calibri" w:hAnsi="Calibri" w:cs="Calibri"/>
          <w:szCs w:val="21"/>
        </w:rPr>
        <w:t>implemented as follows</w:t>
      </w:r>
      <w:r w:rsidR="00000000" w:rsidRPr="00731BB3">
        <w:rPr>
          <w:rFonts w:ascii="Calibri" w:hAnsi="Calibri" w:cs="Calibri"/>
          <w:szCs w:val="21"/>
        </w:rPr>
        <w:t>: a correlation matrix, the main diagnostic scatter plots, and a single baseline regression with regressors constructed as averages of levels. This avoids multiplying specifications too early when the behavior of the dependent variable has not yet been observed.</w:t>
      </w:r>
    </w:p>
    <w:p w14:paraId="2EEAB554" w14:textId="77777777" w:rsidR="00581F49" w:rsidRPr="00731BB3" w:rsidRDefault="00581F49" w:rsidP="00797C11">
      <w:pPr>
        <w:spacing w:after="0"/>
        <w:rPr>
          <w:rFonts w:ascii="Calibri" w:hAnsi="Calibri" w:cs="Calibri"/>
          <w:szCs w:val="21"/>
        </w:rPr>
      </w:pPr>
    </w:p>
    <w:p w14:paraId="045ABDB5" w14:textId="290EA72B" w:rsidR="00284834" w:rsidRPr="00731BB3" w:rsidRDefault="00284834" w:rsidP="00284834">
      <w:pPr>
        <w:spacing w:after="0"/>
        <w:rPr>
          <w:rFonts w:ascii="Calibri" w:hAnsi="Calibri" w:cs="Calibri"/>
        </w:rPr>
      </w:pPr>
      <w:r w:rsidRPr="00731BB3">
        <w:rPr>
          <w:rFonts w:ascii="Calibri" w:hAnsi="Calibri" w:cs="Calibri"/>
          <w:szCs w:val="21"/>
        </w:rPr>
        <w:t>GDPpcGrowth(avg)_i</w:t>
      </w:r>
      <w:r w:rsidRPr="00731BB3">
        <w:rPr>
          <w:rFonts w:ascii="Calibri" w:hAnsi="Calibri" w:cs="Calibri"/>
        </w:rPr>
        <w:t xml:space="preserve">= α + β1 </w:t>
      </w:r>
      <w:r w:rsidRPr="00731BB3">
        <w:rPr>
          <w:rFonts w:ascii="Calibri" w:hAnsi="Calibri" w:cs="Calibri"/>
          <w:szCs w:val="21"/>
        </w:rPr>
        <w:t xml:space="preserve">Log(GDPpc_2000_i) </w:t>
      </w:r>
      <w:r w:rsidRPr="00731BB3">
        <w:rPr>
          <w:rFonts w:ascii="Calibri" w:hAnsi="Calibri" w:cs="Calibri"/>
        </w:rPr>
        <w:t xml:space="preserve">+ β2 </w:t>
      </w:r>
      <w:r w:rsidR="005A224E" w:rsidRPr="00731BB3">
        <w:rPr>
          <w:rFonts w:ascii="Calibri" w:hAnsi="Calibri" w:cs="Calibri"/>
        </w:rPr>
        <w:t>Governance</w:t>
      </w:r>
      <w:r w:rsidRPr="00731BB3">
        <w:rPr>
          <w:rFonts w:ascii="Calibri" w:hAnsi="Calibri" w:cs="Calibri"/>
        </w:rPr>
        <w:t>(avg)_i + β3 HC(avg)_i + β4 GCF(avg)_i + β5 Trade(avg)_i + ε_i</w:t>
      </w:r>
    </w:p>
    <w:p w14:paraId="4FB4EFA5" w14:textId="77777777" w:rsidR="009C2011" w:rsidRPr="00731BB3" w:rsidRDefault="009C2011" w:rsidP="00797C11">
      <w:pPr>
        <w:spacing w:after="0"/>
        <w:rPr>
          <w:rFonts w:ascii="Calibri" w:hAnsi="Calibri" w:cs="Calibri"/>
        </w:rPr>
      </w:pPr>
    </w:p>
    <w:p w14:paraId="698E8EEA" w14:textId="58AA8157" w:rsidR="009C2011" w:rsidRPr="00731BB3" w:rsidRDefault="009C2011" w:rsidP="00797C11">
      <w:pPr>
        <w:spacing w:after="0"/>
        <w:rPr>
          <w:rFonts w:ascii="Calibri" w:hAnsi="Calibri" w:cs="Calibri"/>
          <w:szCs w:val="21"/>
        </w:rPr>
      </w:pPr>
      <w:r w:rsidRPr="00731BB3">
        <w:rPr>
          <w:rFonts w:ascii="Calibri" w:hAnsi="Calibri" w:cs="Calibri"/>
          <w:szCs w:val="21"/>
        </w:rPr>
        <w:t>Avg= average level of period 2000-2023 (or latest available</w:t>
      </w:r>
      <w:r w:rsidR="00D307D4" w:rsidRPr="00731BB3">
        <w:rPr>
          <w:rFonts w:ascii="Calibri" w:hAnsi="Calibri" w:cs="Calibri"/>
          <w:szCs w:val="21"/>
        </w:rPr>
        <w:t xml:space="preserve"> </w:t>
      </w:r>
      <w:r w:rsidR="00284834" w:rsidRPr="00731BB3">
        <w:rPr>
          <w:rFonts w:ascii="Calibri" w:hAnsi="Calibri" w:cs="Calibri"/>
          <w:szCs w:val="21"/>
        </w:rPr>
        <w:t>period</w:t>
      </w:r>
      <w:r w:rsidRPr="00731BB3">
        <w:rPr>
          <w:rFonts w:ascii="Calibri" w:hAnsi="Calibri" w:cs="Calibri"/>
          <w:szCs w:val="21"/>
        </w:rPr>
        <w:t>)</w:t>
      </w:r>
    </w:p>
    <w:p w14:paraId="28338EDE" w14:textId="77777777" w:rsidR="00797C11" w:rsidRPr="00731BB3" w:rsidRDefault="00797C11" w:rsidP="00797C11">
      <w:pPr>
        <w:spacing w:after="0"/>
        <w:rPr>
          <w:rFonts w:ascii="Calibri" w:hAnsi="Calibri" w:cs="Calibri"/>
          <w:szCs w:val="21"/>
        </w:rPr>
      </w:pPr>
    </w:p>
    <w:p w14:paraId="4F907CFE" w14:textId="40FC0093"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5. Correlation and </w:t>
      </w:r>
      <w:r w:rsidR="00731BB3" w:rsidRPr="00731BB3">
        <w:rPr>
          <w:rFonts w:ascii="Calibri" w:hAnsi="Calibri" w:cs="Calibri"/>
          <w:color w:val="203864"/>
        </w:rPr>
        <w:t>S</w:t>
      </w:r>
      <w:r w:rsidRPr="00731BB3">
        <w:rPr>
          <w:rFonts w:ascii="Calibri" w:hAnsi="Calibri" w:cs="Calibri"/>
          <w:color w:val="203864"/>
        </w:rPr>
        <w:t xml:space="preserve">catter </w:t>
      </w:r>
      <w:r w:rsidR="00731BB3" w:rsidRPr="00731BB3">
        <w:rPr>
          <w:rFonts w:ascii="Calibri" w:hAnsi="Calibri" w:cs="Calibri"/>
          <w:color w:val="203864"/>
        </w:rPr>
        <w:t>P</w:t>
      </w:r>
      <w:r w:rsidRPr="00731BB3">
        <w:rPr>
          <w:rFonts w:ascii="Calibri" w:hAnsi="Calibri" w:cs="Calibri"/>
          <w:color w:val="203864"/>
        </w:rPr>
        <w:t>lan</w:t>
      </w:r>
    </w:p>
    <w:p w14:paraId="7517FC4B" w14:textId="330A4714" w:rsidR="00C50DED" w:rsidRPr="00731BB3" w:rsidRDefault="00000000" w:rsidP="00797C11">
      <w:pPr>
        <w:spacing w:after="0"/>
        <w:rPr>
          <w:rFonts w:ascii="Calibri" w:hAnsi="Calibri" w:cs="Calibri"/>
          <w:szCs w:val="21"/>
        </w:rPr>
      </w:pPr>
      <w:r w:rsidRPr="00731BB3">
        <w:rPr>
          <w:rFonts w:ascii="Calibri" w:hAnsi="Calibri" w:cs="Calibri"/>
          <w:szCs w:val="21"/>
        </w:rPr>
        <w:t xml:space="preserve">The full correlation matrix </w:t>
      </w:r>
      <w:r w:rsidR="000F1062" w:rsidRPr="00731BB3">
        <w:rPr>
          <w:rFonts w:ascii="Calibri" w:hAnsi="Calibri" w:cs="Calibri"/>
          <w:szCs w:val="21"/>
        </w:rPr>
        <w:t>is</w:t>
      </w:r>
      <w:r w:rsidRPr="00731BB3">
        <w:rPr>
          <w:rFonts w:ascii="Calibri" w:hAnsi="Calibri" w:cs="Calibri"/>
          <w:szCs w:val="21"/>
        </w:rPr>
        <w:t xml:space="preserve"> calculated. Scatter plots </w:t>
      </w:r>
      <w:r w:rsidR="005A224E" w:rsidRPr="00731BB3">
        <w:rPr>
          <w:rFonts w:ascii="Calibri" w:hAnsi="Calibri" w:cs="Calibri"/>
          <w:szCs w:val="21"/>
        </w:rPr>
        <w:t xml:space="preserve">are </w:t>
      </w:r>
      <w:r w:rsidR="000F1062" w:rsidRPr="00731BB3">
        <w:rPr>
          <w:rFonts w:ascii="Calibri" w:hAnsi="Calibri" w:cs="Calibri"/>
          <w:szCs w:val="21"/>
        </w:rPr>
        <w:t>not</w:t>
      </w:r>
      <w:r w:rsidRPr="00731BB3">
        <w:rPr>
          <w:rFonts w:ascii="Calibri" w:hAnsi="Calibri" w:cs="Calibri"/>
          <w:szCs w:val="21"/>
        </w:rPr>
        <w:t xml:space="preserve"> chosen arbitrarily, but selected on the basis of theory and the most empirically informative relationships. This is not cherry-picking if </w:t>
      </w:r>
      <w:r w:rsidR="000F1062" w:rsidRPr="00731BB3">
        <w:rPr>
          <w:rFonts w:ascii="Calibri" w:hAnsi="Calibri" w:cs="Calibri"/>
          <w:szCs w:val="21"/>
        </w:rPr>
        <w:t xml:space="preserve">it is </w:t>
      </w:r>
      <w:r w:rsidRPr="00731BB3">
        <w:rPr>
          <w:rFonts w:ascii="Calibri" w:hAnsi="Calibri" w:cs="Calibri"/>
          <w:szCs w:val="21"/>
        </w:rPr>
        <w:t>explicitly state</w:t>
      </w:r>
      <w:r w:rsidR="000F1062" w:rsidRPr="00731BB3">
        <w:rPr>
          <w:rFonts w:ascii="Calibri" w:hAnsi="Calibri" w:cs="Calibri"/>
          <w:szCs w:val="21"/>
        </w:rPr>
        <w:t xml:space="preserve">d </w:t>
      </w:r>
      <w:r w:rsidRPr="00731BB3">
        <w:rPr>
          <w:rFonts w:ascii="Calibri" w:hAnsi="Calibri" w:cs="Calibri"/>
          <w:szCs w:val="21"/>
        </w:rPr>
        <w:t>that the full matrix is reported first and that the plots serve as a visual deepening of the most relevant pairs.</w:t>
      </w:r>
    </w:p>
    <w:p w14:paraId="3BA8B2C1" w14:textId="77777777" w:rsidR="00E62AE0" w:rsidRPr="00731BB3" w:rsidRDefault="00E62AE0"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3245"/>
        <w:gridCol w:w="3246"/>
        <w:gridCol w:w="3245"/>
      </w:tblGrid>
      <w:tr w:rsidR="00C50DED" w:rsidRPr="00731BB3" w14:paraId="24C5FAFF" w14:textId="77777777">
        <w:trPr>
          <w:jc w:val="center"/>
        </w:trPr>
        <w:tc>
          <w:tcPr>
            <w:tcW w:w="3249" w:type="dxa"/>
            <w:shd w:val="clear" w:color="auto" w:fill="D9EAF7"/>
            <w:tcMar>
              <w:top w:w="90" w:type="dxa"/>
              <w:left w:w="100" w:type="dxa"/>
              <w:bottom w:w="90" w:type="dxa"/>
              <w:right w:w="100" w:type="dxa"/>
            </w:tcMar>
            <w:vAlign w:val="center"/>
          </w:tcPr>
          <w:p w14:paraId="3436AD80" w14:textId="63A6EF3B"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Scatter </w:t>
            </w:r>
            <w:r w:rsidR="00731BB3" w:rsidRPr="00731BB3">
              <w:rPr>
                <w:rFonts w:ascii="Calibri" w:hAnsi="Calibri" w:cs="Calibri"/>
                <w:b/>
                <w:color w:val="203864"/>
                <w:sz w:val="23"/>
                <w:szCs w:val="23"/>
              </w:rPr>
              <w:t>B</w:t>
            </w:r>
            <w:r w:rsidRPr="00731BB3">
              <w:rPr>
                <w:rFonts w:ascii="Calibri" w:hAnsi="Calibri" w:cs="Calibri"/>
                <w:b/>
                <w:color w:val="203864"/>
                <w:sz w:val="23"/>
                <w:szCs w:val="23"/>
              </w:rPr>
              <w:t>lock</w:t>
            </w:r>
          </w:p>
        </w:tc>
        <w:tc>
          <w:tcPr>
            <w:tcW w:w="3249" w:type="dxa"/>
            <w:shd w:val="clear" w:color="auto" w:fill="D9EAF7"/>
            <w:tcMar>
              <w:top w:w="90" w:type="dxa"/>
              <w:left w:w="100" w:type="dxa"/>
              <w:bottom w:w="90" w:type="dxa"/>
              <w:right w:w="100" w:type="dxa"/>
            </w:tcMar>
            <w:vAlign w:val="center"/>
          </w:tcPr>
          <w:p w14:paraId="30AAE2D7" w14:textId="2CE73303"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Key </w:t>
            </w:r>
            <w:r w:rsidR="00731BB3" w:rsidRPr="00731BB3">
              <w:rPr>
                <w:rFonts w:ascii="Calibri" w:hAnsi="Calibri" w:cs="Calibri"/>
                <w:b/>
                <w:color w:val="203864"/>
                <w:sz w:val="23"/>
                <w:szCs w:val="23"/>
              </w:rPr>
              <w:t>R</w:t>
            </w:r>
            <w:r w:rsidRPr="00731BB3">
              <w:rPr>
                <w:rFonts w:ascii="Calibri" w:hAnsi="Calibri" w:cs="Calibri"/>
                <w:b/>
                <w:color w:val="203864"/>
                <w:sz w:val="23"/>
                <w:szCs w:val="23"/>
              </w:rPr>
              <w:t>elationships</w:t>
            </w:r>
          </w:p>
        </w:tc>
        <w:tc>
          <w:tcPr>
            <w:tcW w:w="3249" w:type="dxa"/>
            <w:shd w:val="clear" w:color="auto" w:fill="D9EAF7"/>
            <w:tcMar>
              <w:top w:w="90" w:type="dxa"/>
              <w:left w:w="100" w:type="dxa"/>
              <w:bottom w:w="90" w:type="dxa"/>
              <w:right w:w="100" w:type="dxa"/>
            </w:tcMar>
            <w:vAlign w:val="center"/>
          </w:tcPr>
          <w:p w14:paraId="26CD15B1" w14:textId="75955C15" w:rsidR="00C50DED" w:rsidRPr="00731BB3" w:rsidRDefault="005A224E" w:rsidP="00797C11">
            <w:pPr>
              <w:spacing w:line="276" w:lineRule="auto"/>
              <w:jc w:val="center"/>
              <w:rPr>
                <w:rFonts w:ascii="Calibri" w:hAnsi="Calibri" w:cs="Calibri"/>
                <w:sz w:val="23"/>
                <w:szCs w:val="23"/>
              </w:rPr>
            </w:pPr>
            <w:r w:rsidRPr="00731BB3">
              <w:rPr>
                <w:rFonts w:ascii="Calibri" w:hAnsi="Calibri" w:cs="Calibri"/>
                <w:b/>
                <w:color w:val="203864"/>
                <w:sz w:val="23"/>
                <w:szCs w:val="23"/>
              </w:rPr>
              <w:t>Clustering</w:t>
            </w:r>
          </w:p>
        </w:tc>
      </w:tr>
      <w:tr w:rsidR="00C50DED" w:rsidRPr="00731BB3" w14:paraId="476BBCD5" w14:textId="77777777">
        <w:trPr>
          <w:jc w:val="center"/>
        </w:trPr>
        <w:tc>
          <w:tcPr>
            <w:tcW w:w="3249" w:type="dxa"/>
            <w:tcMar>
              <w:top w:w="80" w:type="dxa"/>
              <w:left w:w="100" w:type="dxa"/>
              <w:bottom w:w="80" w:type="dxa"/>
              <w:right w:w="100" w:type="dxa"/>
            </w:tcMar>
            <w:vAlign w:val="center"/>
          </w:tcPr>
          <w:p w14:paraId="5A3ADE5A" w14:textId="05ECEFA6" w:rsidR="00C50DED" w:rsidRPr="00731BB3" w:rsidRDefault="00000000" w:rsidP="00797C11">
            <w:pPr>
              <w:spacing w:line="276" w:lineRule="auto"/>
              <w:rPr>
                <w:rFonts w:ascii="Calibri" w:hAnsi="Calibri" w:cs="Calibri"/>
                <w:szCs w:val="21"/>
              </w:rPr>
            </w:pPr>
            <w:r w:rsidRPr="00731BB3">
              <w:rPr>
                <w:rFonts w:ascii="Calibri" w:hAnsi="Calibri" w:cs="Calibri"/>
                <w:szCs w:val="21"/>
              </w:rPr>
              <w:t xml:space="preserve">Block A — </w:t>
            </w:r>
            <w:r w:rsidR="005A224E" w:rsidRPr="00731BB3">
              <w:rPr>
                <w:rFonts w:ascii="Calibri" w:hAnsi="Calibri" w:cs="Calibri"/>
                <w:szCs w:val="21"/>
              </w:rPr>
              <w:t>Governance</w:t>
            </w:r>
            <w:r w:rsidRPr="00731BB3">
              <w:rPr>
                <w:rFonts w:ascii="Calibri" w:hAnsi="Calibri" w:cs="Calibri"/>
                <w:szCs w:val="21"/>
              </w:rPr>
              <w:t>-Based Relationships</w:t>
            </w:r>
          </w:p>
        </w:tc>
        <w:tc>
          <w:tcPr>
            <w:tcW w:w="3249" w:type="dxa"/>
            <w:tcMar>
              <w:top w:w="80" w:type="dxa"/>
              <w:left w:w="100" w:type="dxa"/>
              <w:bottom w:w="80" w:type="dxa"/>
              <w:right w:w="100" w:type="dxa"/>
            </w:tcMar>
            <w:vAlign w:val="center"/>
          </w:tcPr>
          <w:p w14:paraId="1F711B1B"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governance; log GDP pc vs HCI+; log GDP pc vs GCF; log GDP pc vs trade; governance vs HCI+; governance vs GCF</w:t>
            </w:r>
          </w:p>
        </w:tc>
        <w:tc>
          <w:tcPr>
            <w:tcW w:w="3249" w:type="dxa"/>
            <w:tcMar>
              <w:top w:w="80" w:type="dxa"/>
              <w:left w:w="100" w:type="dxa"/>
              <w:bottom w:w="80" w:type="dxa"/>
              <w:right w:w="100" w:type="dxa"/>
            </w:tcMar>
            <w:vAlign w:val="center"/>
          </w:tcPr>
          <w:p w14:paraId="5129B0AD" w14:textId="7DFA7A74" w:rsidR="00C50DED" w:rsidRPr="00731BB3" w:rsidRDefault="00000000" w:rsidP="00797C11">
            <w:pPr>
              <w:spacing w:line="276" w:lineRule="auto"/>
              <w:rPr>
                <w:rFonts w:ascii="Calibri" w:hAnsi="Calibri" w:cs="Calibri"/>
                <w:szCs w:val="21"/>
              </w:rPr>
            </w:pPr>
            <w:r w:rsidRPr="00731BB3">
              <w:rPr>
                <w:rFonts w:ascii="Calibri" w:hAnsi="Calibri" w:cs="Calibri"/>
                <w:szCs w:val="21"/>
              </w:rPr>
              <w:t>Institutional Stability</w:t>
            </w:r>
            <w:r w:rsidR="000F1062" w:rsidRPr="00731BB3">
              <w:rPr>
                <w:rFonts w:ascii="Calibri" w:hAnsi="Calibri" w:cs="Calibri"/>
                <w:szCs w:val="21"/>
              </w:rPr>
              <w:t xml:space="preserve">. </w:t>
            </w:r>
          </w:p>
        </w:tc>
      </w:tr>
      <w:tr w:rsidR="00C50DED" w:rsidRPr="00731BB3" w14:paraId="134A40CC" w14:textId="77777777">
        <w:trPr>
          <w:jc w:val="center"/>
        </w:trPr>
        <w:tc>
          <w:tcPr>
            <w:tcW w:w="3249" w:type="dxa"/>
            <w:tcMar>
              <w:top w:w="80" w:type="dxa"/>
              <w:left w:w="100" w:type="dxa"/>
              <w:bottom w:w="80" w:type="dxa"/>
              <w:right w:w="100" w:type="dxa"/>
            </w:tcMar>
            <w:vAlign w:val="center"/>
          </w:tcPr>
          <w:p w14:paraId="0B380502"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Block B — Structure of the Economy</w:t>
            </w:r>
          </w:p>
        </w:tc>
        <w:tc>
          <w:tcPr>
            <w:tcW w:w="3249" w:type="dxa"/>
            <w:tcMar>
              <w:top w:w="80" w:type="dxa"/>
              <w:left w:w="100" w:type="dxa"/>
              <w:bottom w:w="80" w:type="dxa"/>
              <w:right w:w="100" w:type="dxa"/>
            </w:tcMar>
            <w:vAlign w:val="center"/>
          </w:tcPr>
          <w:p w14:paraId="7F24D818"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manufacturing; log GDP pc vs services; manufacturing vs trade; services vs trade; services vs HCI+</w:t>
            </w:r>
          </w:p>
        </w:tc>
        <w:tc>
          <w:tcPr>
            <w:tcW w:w="3249" w:type="dxa"/>
            <w:tcMar>
              <w:top w:w="80" w:type="dxa"/>
              <w:left w:w="100" w:type="dxa"/>
              <w:bottom w:w="80" w:type="dxa"/>
              <w:right w:w="100" w:type="dxa"/>
            </w:tcMar>
            <w:vAlign w:val="center"/>
          </w:tcPr>
          <w:p w14:paraId="4382FDAA" w14:textId="10A836C1" w:rsidR="00C50DED" w:rsidRPr="00731BB3" w:rsidRDefault="00000000" w:rsidP="00797C11">
            <w:pPr>
              <w:spacing w:line="276" w:lineRule="auto"/>
              <w:rPr>
                <w:rFonts w:ascii="Calibri" w:hAnsi="Calibri" w:cs="Calibri"/>
                <w:szCs w:val="21"/>
              </w:rPr>
            </w:pPr>
            <w:r w:rsidRPr="00731BB3">
              <w:rPr>
                <w:rFonts w:ascii="Calibri" w:hAnsi="Calibri" w:cs="Calibri"/>
                <w:szCs w:val="21"/>
              </w:rPr>
              <w:t>Core Growth Model</w:t>
            </w:r>
          </w:p>
        </w:tc>
      </w:tr>
      <w:tr w:rsidR="00C50DED" w:rsidRPr="00731BB3" w14:paraId="69207345" w14:textId="77777777">
        <w:trPr>
          <w:jc w:val="center"/>
        </w:trPr>
        <w:tc>
          <w:tcPr>
            <w:tcW w:w="3249" w:type="dxa"/>
            <w:tcMar>
              <w:top w:w="80" w:type="dxa"/>
              <w:left w:w="100" w:type="dxa"/>
              <w:bottom w:w="80" w:type="dxa"/>
              <w:right w:w="100" w:type="dxa"/>
            </w:tcMar>
            <w:vAlign w:val="center"/>
          </w:tcPr>
          <w:p w14:paraId="22A48404"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Block C — Resource Curse</w:t>
            </w:r>
          </w:p>
        </w:tc>
        <w:tc>
          <w:tcPr>
            <w:tcW w:w="3249" w:type="dxa"/>
            <w:tcMar>
              <w:top w:w="80" w:type="dxa"/>
              <w:left w:w="100" w:type="dxa"/>
              <w:bottom w:w="80" w:type="dxa"/>
              <w:right w:w="100" w:type="dxa"/>
            </w:tcMar>
            <w:vAlign w:val="center"/>
          </w:tcPr>
          <w:p w14:paraId="1C693FE2"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log GDP pc vs total natural resource rents; governance vs total natural resource rents; manufacturing vs total natural resource rents</w:t>
            </w:r>
          </w:p>
        </w:tc>
        <w:tc>
          <w:tcPr>
            <w:tcW w:w="3249" w:type="dxa"/>
            <w:tcMar>
              <w:top w:w="80" w:type="dxa"/>
              <w:left w:w="100" w:type="dxa"/>
              <w:bottom w:w="80" w:type="dxa"/>
              <w:right w:w="100" w:type="dxa"/>
            </w:tcMar>
            <w:vAlign w:val="center"/>
          </w:tcPr>
          <w:p w14:paraId="0CC47DF2" w14:textId="3173D0D2" w:rsidR="00C50DED" w:rsidRPr="00731BB3" w:rsidRDefault="00000000" w:rsidP="00797C11">
            <w:pPr>
              <w:spacing w:line="276" w:lineRule="auto"/>
              <w:rPr>
                <w:rFonts w:ascii="Calibri" w:hAnsi="Calibri" w:cs="Calibri"/>
                <w:szCs w:val="21"/>
              </w:rPr>
            </w:pPr>
            <w:r w:rsidRPr="00731BB3">
              <w:rPr>
                <w:rFonts w:ascii="Calibri" w:hAnsi="Calibri" w:cs="Calibri"/>
                <w:szCs w:val="21"/>
              </w:rPr>
              <w:t>Region or Institutional Stability</w:t>
            </w:r>
          </w:p>
        </w:tc>
      </w:tr>
    </w:tbl>
    <w:p w14:paraId="1CF30D6A" w14:textId="77777777" w:rsidR="00C50DED" w:rsidRPr="00731BB3" w:rsidRDefault="00C50DED" w:rsidP="00797C11">
      <w:pPr>
        <w:spacing w:after="0"/>
        <w:rPr>
          <w:rFonts w:ascii="Calibri" w:hAnsi="Calibri" w:cs="Calibri"/>
        </w:rPr>
      </w:pPr>
    </w:p>
    <w:p w14:paraId="01900F94" w14:textId="77777777" w:rsidR="00FA0CD6" w:rsidRPr="00731BB3" w:rsidRDefault="00FA0CD6" w:rsidP="00797C11">
      <w:pPr>
        <w:spacing w:after="0"/>
        <w:rPr>
          <w:rFonts w:ascii="Calibri" w:hAnsi="Calibri" w:cs="Calibri"/>
        </w:rPr>
      </w:pPr>
    </w:p>
    <w:p w14:paraId="69A74815" w14:textId="77777777" w:rsidR="00FA0CD6" w:rsidRPr="00731BB3" w:rsidRDefault="00FA0CD6" w:rsidP="00797C11">
      <w:pPr>
        <w:spacing w:after="0"/>
        <w:rPr>
          <w:rFonts w:ascii="Calibri" w:hAnsi="Calibri" w:cs="Calibri"/>
        </w:rPr>
      </w:pPr>
    </w:p>
    <w:p w14:paraId="011D708F" w14:textId="77777777" w:rsidR="00FA0CD6" w:rsidRPr="00731BB3" w:rsidRDefault="00FA0CD6" w:rsidP="00797C11">
      <w:pPr>
        <w:spacing w:after="0"/>
        <w:rPr>
          <w:rFonts w:ascii="Calibri" w:hAnsi="Calibri" w:cs="Calibri"/>
        </w:rPr>
      </w:pPr>
    </w:p>
    <w:p w14:paraId="31366B4B" w14:textId="77777777" w:rsidR="00FA0CD6" w:rsidRPr="00731BB3" w:rsidRDefault="00FA0CD6" w:rsidP="00797C11">
      <w:pPr>
        <w:spacing w:after="0"/>
        <w:rPr>
          <w:rFonts w:ascii="Calibri" w:hAnsi="Calibri" w:cs="Calibri"/>
        </w:rPr>
      </w:pPr>
    </w:p>
    <w:p w14:paraId="750E3FA7" w14:textId="77777777" w:rsidR="000F1062" w:rsidRPr="00731BB3" w:rsidRDefault="000F1062" w:rsidP="00797C11">
      <w:pPr>
        <w:spacing w:after="0"/>
        <w:rPr>
          <w:rFonts w:ascii="Calibri" w:hAnsi="Calibri" w:cs="Calibri"/>
          <w:szCs w:val="21"/>
        </w:rPr>
      </w:pPr>
    </w:p>
    <w:p w14:paraId="10A830A7" w14:textId="2AFB5B65" w:rsidR="00C50DED" w:rsidRPr="00731BB3" w:rsidRDefault="00F033DE" w:rsidP="00797C11">
      <w:pPr>
        <w:pStyle w:val="Heading1"/>
        <w:spacing w:before="0"/>
        <w:rPr>
          <w:rFonts w:ascii="Calibri" w:hAnsi="Calibri" w:cs="Calibri"/>
        </w:rPr>
      </w:pPr>
      <w:r w:rsidRPr="00731BB3">
        <w:rPr>
          <w:rFonts w:ascii="Calibri" w:hAnsi="Calibri" w:cs="Calibri"/>
          <w:color w:val="203864"/>
        </w:rPr>
        <w:lastRenderedPageBreak/>
        <w:t xml:space="preserve">6. </w:t>
      </w:r>
      <w:r w:rsidR="00731BB3" w:rsidRPr="00731BB3">
        <w:rPr>
          <w:rFonts w:ascii="Calibri" w:hAnsi="Calibri" w:cs="Calibri"/>
          <w:color w:val="203864"/>
        </w:rPr>
        <w:t>Robustness</w:t>
      </w:r>
    </w:p>
    <w:p w14:paraId="487C962F" w14:textId="6947FD97" w:rsidR="00797C11" w:rsidRPr="00731BB3" w:rsidRDefault="00A33E7A" w:rsidP="00797C11">
      <w:pPr>
        <w:spacing w:after="0"/>
        <w:rPr>
          <w:rFonts w:ascii="Calibri" w:hAnsi="Calibri" w:cs="Calibri"/>
          <w:szCs w:val="21"/>
        </w:rPr>
      </w:pPr>
      <w:r w:rsidRPr="00731BB3">
        <w:rPr>
          <w:rFonts w:ascii="Calibri" w:hAnsi="Calibri" w:cs="Calibri"/>
          <w:szCs w:val="21"/>
        </w:rPr>
        <w:t>Robustness is defined as the evaluation of whether the main empirical results remain stable under alternative, theoretically grounded modifications of the model specification.</w:t>
      </w:r>
    </w:p>
    <w:p w14:paraId="4F66BEF6" w14:textId="77777777" w:rsidR="00A33E7A" w:rsidRPr="00731BB3" w:rsidRDefault="00A33E7A" w:rsidP="00797C11">
      <w:pPr>
        <w:spacing w:after="0"/>
        <w:rPr>
          <w:rFonts w:ascii="Calibri" w:hAnsi="Calibri" w:cs="Calibri"/>
          <w:szCs w:val="21"/>
        </w:rPr>
      </w:pPr>
    </w:p>
    <w:tbl>
      <w:tblPr>
        <w:tblStyle w:val="TableGrid"/>
        <w:tblW w:w="0" w:type="auto"/>
        <w:jc w:val="center"/>
        <w:tblLook w:val="04A0" w:firstRow="1" w:lastRow="0" w:firstColumn="1" w:lastColumn="0" w:noHBand="0" w:noVBand="1"/>
      </w:tblPr>
      <w:tblGrid>
        <w:gridCol w:w="4868"/>
        <w:gridCol w:w="4868"/>
      </w:tblGrid>
      <w:tr w:rsidR="00C50DED" w:rsidRPr="00731BB3" w14:paraId="10C52A3C" w14:textId="77777777">
        <w:trPr>
          <w:jc w:val="center"/>
        </w:trPr>
        <w:tc>
          <w:tcPr>
            <w:tcW w:w="4873" w:type="dxa"/>
            <w:shd w:val="clear" w:color="auto" w:fill="D9EAF7"/>
            <w:tcMar>
              <w:top w:w="90" w:type="dxa"/>
              <w:left w:w="100" w:type="dxa"/>
              <w:bottom w:w="90" w:type="dxa"/>
              <w:right w:w="100" w:type="dxa"/>
            </w:tcMar>
            <w:vAlign w:val="center"/>
          </w:tcPr>
          <w:p w14:paraId="23C07E02" w14:textId="353202A3" w:rsidR="00C50DED" w:rsidRPr="00731BB3" w:rsidRDefault="00000000" w:rsidP="00797C11">
            <w:pPr>
              <w:spacing w:line="276" w:lineRule="auto"/>
              <w:jc w:val="center"/>
              <w:rPr>
                <w:rFonts w:ascii="Calibri" w:hAnsi="Calibri" w:cs="Calibri"/>
                <w:sz w:val="23"/>
                <w:szCs w:val="23"/>
              </w:rPr>
            </w:pPr>
            <w:r w:rsidRPr="00731BB3">
              <w:rPr>
                <w:rFonts w:ascii="Calibri" w:hAnsi="Calibri" w:cs="Calibri"/>
                <w:b/>
                <w:color w:val="203864"/>
                <w:sz w:val="23"/>
                <w:szCs w:val="23"/>
              </w:rPr>
              <w:t xml:space="preserve">Type of </w:t>
            </w:r>
            <w:r w:rsidR="00731BB3" w:rsidRPr="00731BB3">
              <w:rPr>
                <w:rFonts w:ascii="Calibri" w:hAnsi="Calibri" w:cs="Calibri"/>
                <w:b/>
                <w:color w:val="203864"/>
                <w:sz w:val="23"/>
                <w:szCs w:val="23"/>
              </w:rPr>
              <w:t>R</w:t>
            </w:r>
            <w:r w:rsidRPr="00731BB3">
              <w:rPr>
                <w:rFonts w:ascii="Calibri" w:hAnsi="Calibri" w:cs="Calibri"/>
                <w:b/>
                <w:color w:val="203864"/>
                <w:sz w:val="23"/>
                <w:szCs w:val="23"/>
              </w:rPr>
              <w:t>obustness</w:t>
            </w:r>
          </w:p>
        </w:tc>
        <w:tc>
          <w:tcPr>
            <w:tcW w:w="4873" w:type="dxa"/>
            <w:shd w:val="clear" w:color="auto" w:fill="D9EAF7"/>
            <w:tcMar>
              <w:top w:w="90" w:type="dxa"/>
              <w:left w:w="100" w:type="dxa"/>
              <w:bottom w:w="90" w:type="dxa"/>
              <w:right w:w="100" w:type="dxa"/>
            </w:tcMar>
            <w:vAlign w:val="center"/>
          </w:tcPr>
          <w:p w14:paraId="2AAED8F0" w14:textId="069BD192" w:rsidR="00C50DED" w:rsidRPr="00731BB3" w:rsidRDefault="005A224E" w:rsidP="00797C11">
            <w:pPr>
              <w:spacing w:line="276" w:lineRule="auto"/>
              <w:jc w:val="center"/>
              <w:rPr>
                <w:rFonts w:ascii="Calibri" w:hAnsi="Calibri" w:cs="Calibri"/>
                <w:sz w:val="23"/>
                <w:szCs w:val="23"/>
              </w:rPr>
            </w:pPr>
            <w:r w:rsidRPr="00731BB3">
              <w:rPr>
                <w:rFonts w:ascii="Calibri" w:hAnsi="Calibri" w:cs="Calibri"/>
                <w:b/>
                <w:color w:val="203864"/>
                <w:sz w:val="23"/>
                <w:szCs w:val="23"/>
              </w:rPr>
              <w:t>Interpretation</w:t>
            </w:r>
          </w:p>
        </w:tc>
      </w:tr>
      <w:tr w:rsidR="00C50DED" w:rsidRPr="00731BB3" w14:paraId="04555D8E" w14:textId="77777777">
        <w:trPr>
          <w:jc w:val="center"/>
        </w:trPr>
        <w:tc>
          <w:tcPr>
            <w:tcW w:w="4873" w:type="dxa"/>
            <w:tcMar>
              <w:top w:w="80" w:type="dxa"/>
              <w:left w:w="100" w:type="dxa"/>
              <w:bottom w:w="80" w:type="dxa"/>
              <w:right w:w="100" w:type="dxa"/>
            </w:tcMar>
            <w:vAlign w:val="center"/>
          </w:tcPr>
          <w:p w14:paraId="76F1F85D"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Specification robustness</w:t>
            </w:r>
          </w:p>
        </w:tc>
        <w:tc>
          <w:tcPr>
            <w:tcW w:w="4873" w:type="dxa"/>
            <w:tcMar>
              <w:top w:w="80" w:type="dxa"/>
              <w:left w:w="100" w:type="dxa"/>
              <w:bottom w:w="80" w:type="dxa"/>
              <w:right w:w="100" w:type="dxa"/>
            </w:tcMar>
            <w:vAlign w:val="center"/>
          </w:tcPr>
          <w:p w14:paraId="3BD20D4F" w14:textId="0AFC6ADC" w:rsidR="00C50DED" w:rsidRPr="00731BB3" w:rsidRDefault="00A33E7A" w:rsidP="00797C11">
            <w:pPr>
              <w:spacing w:line="276" w:lineRule="auto"/>
              <w:rPr>
                <w:rFonts w:ascii="Calibri" w:hAnsi="Calibri" w:cs="Calibri"/>
                <w:szCs w:val="21"/>
              </w:rPr>
            </w:pPr>
            <w:r w:rsidRPr="00731BB3">
              <w:rPr>
                <w:rFonts w:ascii="Calibri" w:hAnsi="Calibri" w:cs="Calibri"/>
                <w:szCs w:val="21"/>
              </w:rPr>
              <w:t>Changes in the sign and statistical significance of key coefficients are evaluated when moving from the baseline specification to extended models including structure, resources, or FDI.</w:t>
            </w:r>
          </w:p>
        </w:tc>
      </w:tr>
      <w:tr w:rsidR="00C50DED" w:rsidRPr="00731BB3" w14:paraId="0B57FADB" w14:textId="77777777">
        <w:trPr>
          <w:jc w:val="center"/>
        </w:trPr>
        <w:tc>
          <w:tcPr>
            <w:tcW w:w="4873" w:type="dxa"/>
            <w:tcMar>
              <w:top w:w="80" w:type="dxa"/>
              <w:left w:w="100" w:type="dxa"/>
              <w:bottom w:w="80" w:type="dxa"/>
              <w:right w:w="100" w:type="dxa"/>
            </w:tcMar>
            <w:vAlign w:val="center"/>
          </w:tcPr>
          <w:p w14:paraId="59F2B97F"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Variable-set robustness</w:t>
            </w:r>
          </w:p>
        </w:tc>
        <w:tc>
          <w:tcPr>
            <w:tcW w:w="4873" w:type="dxa"/>
            <w:tcMar>
              <w:top w:w="80" w:type="dxa"/>
              <w:left w:w="100" w:type="dxa"/>
              <w:bottom w:w="80" w:type="dxa"/>
              <w:right w:w="100" w:type="dxa"/>
            </w:tcMar>
            <w:vAlign w:val="center"/>
          </w:tcPr>
          <w:p w14:paraId="4FC31DB8" w14:textId="304F632A" w:rsidR="00C50DED" w:rsidRPr="00731BB3" w:rsidRDefault="00A33E7A" w:rsidP="00797C11">
            <w:pPr>
              <w:spacing w:line="276" w:lineRule="auto"/>
              <w:rPr>
                <w:rFonts w:ascii="Calibri" w:hAnsi="Calibri" w:cs="Calibri"/>
                <w:szCs w:val="21"/>
              </w:rPr>
            </w:pPr>
            <w:r w:rsidRPr="00731BB3">
              <w:rPr>
                <w:rFonts w:ascii="Calibri" w:hAnsi="Calibri" w:cs="Calibri"/>
                <w:szCs w:val="21"/>
              </w:rPr>
              <w:t>Alternative specifications including manufacturing only, services only, and both jointly are compared to assess the sensitivity of results to the chosen structural proxy.</w:t>
            </w:r>
          </w:p>
        </w:tc>
      </w:tr>
      <w:tr w:rsidR="00C50DED" w:rsidRPr="00731BB3" w14:paraId="5DA45E02" w14:textId="77777777">
        <w:trPr>
          <w:jc w:val="center"/>
        </w:trPr>
        <w:tc>
          <w:tcPr>
            <w:tcW w:w="4873" w:type="dxa"/>
            <w:tcMar>
              <w:top w:w="80" w:type="dxa"/>
              <w:left w:w="100" w:type="dxa"/>
              <w:bottom w:w="80" w:type="dxa"/>
              <w:right w:w="100" w:type="dxa"/>
            </w:tcMar>
            <w:vAlign w:val="center"/>
          </w:tcPr>
          <w:p w14:paraId="493F6353"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Outlier robustness</w:t>
            </w:r>
          </w:p>
        </w:tc>
        <w:tc>
          <w:tcPr>
            <w:tcW w:w="4873" w:type="dxa"/>
            <w:tcMar>
              <w:top w:w="80" w:type="dxa"/>
              <w:left w:w="100" w:type="dxa"/>
              <w:bottom w:w="80" w:type="dxa"/>
              <w:right w:w="100" w:type="dxa"/>
            </w:tcMar>
            <w:vAlign w:val="center"/>
          </w:tcPr>
          <w:p w14:paraId="1FD230BC" w14:textId="1F9906E4" w:rsidR="00C50DED" w:rsidRPr="00731BB3" w:rsidRDefault="00A33E7A" w:rsidP="00797C11">
            <w:pPr>
              <w:spacing w:line="276" w:lineRule="auto"/>
              <w:rPr>
                <w:rFonts w:ascii="Calibri" w:hAnsi="Calibri" w:cs="Calibri"/>
                <w:szCs w:val="21"/>
              </w:rPr>
            </w:pPr>
            <w:r w:rsidRPr="00731BB3">
              <w:rPr>
                <w:rFonts w:ascii="Calibri" w:hAnsi="Calibri" w:cs="Calibri"/>
                <w:szCs w:val="21"/>
              </w:rPr>
              <w:t>The model is re-estimated after excluding observations identified as high-leverage or outliers in the graphical analysis.</w:t>
            </w:r>
          </w:p>
        </w:tc>
      </w:tr>
      <w:tr w:rsidR="00C50DED" w:rsidRPr="00731BB3" w14:paraId="038B00FF" w14:textId="77777777">
        <w:trPr>
          <w:jc w:val="center"/>
        </w:trPr>
        <w:tc>
          <w:tcPr>
            <w:tcW w:w="4873" w:type="dxa"/>
            <w:tcMar>
              <w:top w:w="80" w:type="dxa"/>
              <w:left w:w="100" w:type="dxa"/>
              <w:bottom w:w="80" w:type="dxa"/>
              <w:right w:w="100" w:type="dxa"/>
            </w:tcMar>
            <w:vAlign w:val="center"/>
          </w:tcPr>
          <w:p w14:paraId="05B75809"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Standardization robustness</w:t>
            </w:r>
          </w:p>
        </w:tc>
        <w:tc>
          <w:tcPr>
            <w:tcW w:w="4873" w:type="dxa"/>
            <w:tcMar>
              <w:top w:w="80" w:type="dxa"/>
              <w:left w:w="100" w:type="dxa"/>
              <w:bottom w:w="80" w:type="dxa"/>
              <w:right w:w="100" w:type="dxa"/>
            </w:tcMar>
            <w:vAlign w:val="center"/>
          </w:tcPr>
          <w:p w14:paraId="65B8F48F" w14:textId="762E82B7" w:rsidR="00C50DED" w:rsidRPr="00731BB3" w:rsidRDefault="00A33E7A" w:rsidP="00797C11">
            <w:pPr>
              <w:spacing w:line="276" w:lineRule="auto"/>
              <w:rPr>
                <w:rFonts w:ascii="Calibri" w:hAnsi="Calibri" w:cs="Calibri"/>
                <w:szCs w:val="21"/>
              </w:rPr>
            </w:pPr>
            <w:r w:rsidRPr="00731BB3">
              <w:rPr>
                <w:rFonts w:ascii="Calibri" w:hAnsi="Calibri" w:cs="Calibri"/>
                <w:szCs w:val="21"/>
              </w:rPr>
              <w:t>A standardized version of the dataset (z-scores) is used to compare the relative magnitude of coefficients on a common scale.</w:t>
            </w:r>
          </w:p>
        </w:tc>
      </w:tr>
      <w:tr w:rsidR="00C50DED" w:rsidRPr="00731BB3" w14:paraId="64F44FED" w14:textId="77777777">
        <w:trPr>
          <w:jc w:val="center"/>
        </w:trPr>
        <w:tc>
          <w:tcPr>
            <w:tcW w:w="4873" w:type="dxa"/>
            <w:tcMar>
              <w:top w:w="80" w:type="dxa"/>
              <w:left w:w="100" w:type="dxa"/>
              <w:bottom w:w="80" w:type="dxa"/>
              <w:right w:w="100" w:type="dxa"/>
            </w:tcMar>
            <w:vAlign w:val="center"/>
          </w:tcPr>
          <w:p w14:paraId="06B1F176" w14:textId="77777777" w:rsidR="00C50DED" w:rsidRPr="00731BB3" w:rsidRDefault="00000000" w:rsidP="00797C11">
            <w:pPr>
              <w:spacing w:line="276" w:lineRule="auto"/>
              <w:rPr>
                <w:rFonts w:ascii="Calibri" w:hAnsi="Calibri" w:cs="Calibri"/>
                <w:szCs w:val="21"/>
              </w:rPr>
            </w:pPr>
            <w:r w:rsidRPr="00731BB3">
              <w:rPr>
                <w:rFonts w:ascii="Calibri" w:hAnsi="Calibri" w:cs="Calibri"/>
                <w:szCs w:val="21"/>
              </w:rPr>
              <w:t>Sample robustness</w:t>
            </w:r>
          </w:p>
        </w:tc>
        <w:tc>
          <w:tcPr>
            <w:tcW w:w="4873" w:type="dxa"/>
            <w:tcMar>
              <w:top w:w="80" w:type="dxa"/>
              <w:left w:w="100" w:type="dxa"/>
              <w:bottom w:w="80" w:type="dxa"/>
              <w:right w:w="100" w:type="dxa"/>
            </w:tcMar>
            <w:vAlign w:val="center"/>
          </w:tcPr>
          <w:p w14:paraId="7388DF88" w14:textId="31EC7FB7" w:rsidR="00C50DED" w:rsidRPr="00731BB3" w:rsidRDefault="00A33E7A" w:rsidP="00797C11">
            <w:pPr>
              <w:spacing w:line="276" w:lineRule="auto"/>
              <w:rPr>
                <w:rFonts w:ascii="Calibri" w:hAnsi="Calibri" w:cs="Calibri"/>
                <w:szCs w:val="21"/>
              </w:rPr>
            </w:pPr>
            <w:r w:rsidRPr="00731BB3">
              <w:rPr>
                <w:rFonts w:ascii="Calibri" w:hAnsi="Calibri" w:cs="Calibri"/>
                <w:szCs w:val="21"/>
              </w:rPr>
              <w:t>The effective number of observations is reported for each specification, allowing for the assessment of potential sample-driven variation in the results.</w:t>
            </w:r>
          </w:p>
        </w:tc>
      </w:tr>
    </w:tbl>
    <w:p w14:paraId="0BAB2A1E" w14:textId="77777777" w:rsidR="00C50DED" w:rsidRPr="00731BB3" w:rsidRDefault="00C50DED" w:rsidP="00797C11">
      <w:pPr>
        <w:spacing w:after="0"/>
        <w:rPr>
          <w:rFonts w:ascii="Calibri" w:hAnsi="Calibri" w:cs="Calibri"/>
        </w:rPr>
      </w:pPr>
    </w:p>
    <w:p w14:paraId="1FE16BC6" w14:textId="2C166FD6" w:rsidR="00797C11" w:rsidRPr="00731BB3" w:rsidRDefault="00A33E7A" w:rsidP="00797C11">
      <w:pPr>
        <w:spacing w:after="0"/>
        <w:rPr>
          <w:rFonts w:ascii="Calibri" w:hAnsi="Calibri" w:cs="Calibri"/>
          <w:szCs w:val="21"/>
        </w:rPr>
      </w:pPr>
      <w:r w:rsidRPr="00731BB3">
        <w:rPr>
          <w:rFonts w:ascii="Calibri" w:hAnsi="Calibri" w:cs="Calibri"/>
          <w:szCs w:val="21"/>
        </w:rPr>
        <w:t>In this project, the most relevant robustness dimensions are specification and sample robustness. Emphasis is placed on transparent comparison of coefficients, statistical significance, goodness of fit, and sensitivity to influential observations.</w:t>
      </w:r>
    </w:p>
    <w:p w14:paraId="40FC1F38" w14:textId="77777777" w:rsidR="00731BB3" w:rsidRPr="00731BB3" w:rsidRDefault="00731BB3" w:rsidP="00797C11">
      <w:pPr>
        <w:spacing w:after="0"/>
        <w:rPr>
          <w:rFonts w:ascii="Calibri" w:hAnsi="Calibri" w:cs="Calibri"/>
          <w:szCs w:val="21"/>
        </w:rPr>
      </w:pPr>
    </w:p>
    <w:p w14:paraId="1D5EFD81" w14:textId="033BF0FC" w:rsidR="00731BB3" w:rsidRPr="00731BB3" w:rsidRDefault="00731BB3" w:rsidP="00731BB3">
      <w:pPr>
        <w:pStyle w:val="Heading1"/>
        <w:spacing w:before="0"/>
        <w:rPr>
          <w:rFonts w:ascii="Calibri" w:hAnsi="Calibri" w:cs="Calibri"/>
        </w:rPr>
      </w:pPr>
      <w:r w:rsidRPr="00731BB3">
        <w:rPr>
          <w:rFonts w:ascii="Calibri" w:hAnsi="Calibri" w:cs="Calibri"/>
        </w:rPr>
        <w:t xml:space="preserve">7. </w:t>
      </w:r>
      <w:r w:rsidRPr="00731BB3">
        <w:rPr>
          <w:rFonts w:ascii="Calibri" w:hAnsi="Calibri" w:cs="Calibri"/>
        </w:rPr>
        <w:t xml:space="preserve">Caveats and </w:t>
      </w:r>
      <w:r>
        <w:rPr>
          <w:rFonts w:ascii="Calibri" w:hAnsi="Calibri" w:cs="Calibri"/>
        </w:rPr>
        <w:t>D</w:t>
      </w:r>
      <w:r w:rsidRPr="00731BB3">
        <w:rPr>
          <w:rFonts w:ascii="Calibri" w:hAnsi="Calibri" w:cs="Calibri"/>
        </w:rPr>
        <w:t xml:space="preserve">ata </w:t>
      </w:r>
      <w:r>
        <w:rPr>
          <w:rFonts w:ascii="Calibri" w:hAnsi="Calibri" w:cs="Calibri"/>
        </w:rPr>
        <w:t>L</w:t>
      </w:r>
      <w:r w:rsidRPr="00731BB3">
        <w:rPr>
          <w:rFonts w:ascii="Calibri" w:hAnsi="Calibri" w:cs="Calibri"/>
        </w:rPr>
        <w:t>imitations</w:t>
      </w:r>
    </w:p>
    <w:p w14:paraId="31561695" w14:textId="77777777" w:rsidR="00731BB3" w:rsidRPr="00731BB3" w:rsidRDefault="00731BB3" w:rsidP="00731BB3">
      <w:pPr>
        <w:spacing w:after="0"/>
        <w:rPr>
          <w:rFonts w:ascii="Calibri" w:hAnsi="Calibri" w:cs="Calibri"/>
          <w:szCs w:val="21"/>
        </w:rPr>
      </w:pPr>
      <w:r w:rsidRPr="00731BB3">
        <w:rPr>
          <w:rFonts w:ascii="Calibri" w:hAnsi="Calibri" w:cs="Calibri"/>
          <w:szCs w:val="21"/>
        </w:rPr>
        <w:t xml:space="preserve">The analysis relies on harmonized cross-country datasets that combine information from different sources (e.g. WDI, WGI). While variables are selected to maximize comparability, some measurement inconsistencies may remain, especially for variables such as human capital, governance, and natural resource rents. </w:t>
      </w:r>
    </w:p>
    <w:p w14:paraId="62B0AF75" w14:textId="77777777" w:rsidR="00731BB3" w:rsidRPr="00731BB3" w:rsidRDefault="00731BB3" w:rsidP="00731BB3">
      <w:pPr>
        <w:spacing w:after="0"/>
        <w:rPr>
          <w:rFonts w:ascii="Calibri" w:hAnsi="Calibri" w:cs="Calibri"/>
          <w:szCs w:val="21"/>
        </w:rPr>
      </w:pPr>
    </w:p>
    <w:p w14:paraId="779EB700" w14:textId="77777777" w:rsidR="00731BB3" w:rsidRPr="00731BB3" w:rsidRDefault="00731BB3" w:rsidP="00731BB3">
      <w:pPr>
        <w:spacing w:after="0"/>
        <w:rPr>
          <w:rFonts w:ascii="Calibri" w:hAnsi="Calibri" w:cs="Calibri"/>
          <w:szCs w:val="21"/>
        </w:rPr>
      </w:pPr>
      <w:r w:rsidRPr="00731BB3">
        <w:rPr>
          <w:rFonts w:ascii="Calibri" w:hAnsi="Calibri" w:cs="Calibri"/>
          <w:szCs w:val="21"/>
        </w:rPr>
        <w:t>In addition, the cross-sectional nature of Model 1 and the relatively small sample size imply that results should be interpreted as indicative relationships rather than causal estimates. Outliers and leverage points may influence both correlations and regression coefficients, which is why they are explicitly inspected in the diagnostic phase and addressed through robustness checks.</w:t>
      </w:r>
      <w:r w:rsidRPr="00731BB3">
        <w:rPr>
          <w:rFonts w:ascii="Calibri" w:hAnsi="Calibri" w:cs="Calibri"/>
          <w:szCs w:val="21"/>
        </w:rPr>
        <w:t xml:space="preserve"> </w:t>
      </w:r>
    </w:p>
    <w:p w14:paraId="7A9DF8A4" w14:textId="77777777" w:rsidR="00731BB3" w:rsidRPr="00731BB3" w:rsidRDefault="00731BB3" w:rsidP="00731BB3">
      <w:pPr>
        <w:spacing w:after="0"/>
        <w:rPr>
          <w:rFonts w:ascii="Calibri" w:hAnsi="Calibri" w:cs="Calibri"/>
          <w:szCs w:val="21"/>
        </w:rPr>
      </w:pPr>
    </w:p>
    <w:p w14:paraId="6526DF1A" w14:textId="1EDF6121" w:rsidR="00731BB3" w:rsidRPr="00731BB3" w:rsidRDefault="00731BB3" w:rsidP="00731BB3">
      <w:pPr>
        <w:spacing w:after="0"/>
        <w:rPr>
          <w:rFonts w:ascii="Calibri" w:hAnsi="Calibri" w:cs="Calibri"/>
          <w:szCs w:val="21"/>
        </w:rPr>
      </w:pPr>
      <w:r w:rsidRPr="00731BB3">
        <w:rPr>
          <w:rFonts w:ascii="Calibri" w:hAnsi="Calibri" w:cs="Calibri"/>
          <w:szCs w:val="21"/>
        </w:rPr>
        <w:t>Finally, some structural variables (e.g. manufacturing and services shares) may capture overlapping aspects of the economic structure, potentially leading to multicollinearity when included jointly. Results are therefore interpreted with attention to coefficient stability across specifications.</w:t>
      </w:r>
    </w:p>
    <w:p w14:paraId="21DB8357" w14:textId="77777777" w:rsidR="00A33E7A" w:rsidRPr="00731BB3" w:rsidRDefault="00A33E7A" w:rsidP="00797C11">
      <w:pPr>
        <w:spacing w:after="0"/>
        <w:rPr>
          <w:rFonts w:ascii="Calibri" w:hAnsi="Calibri" w:cs="Calibri"/>
          <w:szCs w:val="21"/>
        </w:rPr>
      </w:pPr>
    </w:p>
    <w:p w14:paraId="20871BB0" w14:textId="77777777" w:rsidR="00731BB3" w:rsidRPr="00731BB3" w:rsidRDefault="00731BB3" w:rsidP="00797C11">
      <w:pPr>
        <w:spacing w:after="0"/>
        <w:rPr>
          <w:rFonts w:ascii="Calibri" w:hAnsi="Calibri" w:cs="Calibri"/>
          <w:szCs w:val="21"/>
        </w:rPr>
      </w:pPr>
    </w:p>
    <w:p w14:paraId="0DEC6444" w14:textId="044D8827" w:rsidR="00731BB3" w:rsidRPr="00731BB3" w:rsidRDefault="00731BB3" w:rsidP="00731BB3">
      <w:pPr>
        <w:pStyle w:val="Heading1"/>
      </w:pPr>
      <w:r w:rsidRPr="00731BB3">
        <w:lastRenderedPageBreak/>
        <w:t xml:space="preserve">Supporting </w:t>
      </w:r>
      <w:r>
        <w:t>D</w:t>
      </w:r>
      <w:r w:rsidRPr="00731BB3">
        <w:t xml:space="preserve">ata </w:t>
      </w:r>
      <w:r>
        <w:t>Fi</w:t>
      </w:r>
      <w:r w:rsidRPr="00731BB3">
        <w:t>les</w:t>
      </w:r>
    </w:p>
    <w:p w14:paraId="6AF853DE" w14:textId="77777777" w:rsidR="00731BB3" w:rsidRPr="00731BB3" w:rsidRDefault="00731BB3" w:rsidP="00731BB3">
      <w:pPr>
        <w:spacing w:after="0"/>
        <w:rPr>
          <w:rFonts w:ascii="Calibri" w:hAnsi="Calibri" w:cs="Calibri"/>
          <w:szCs w:val="21"/>
        </w:rPr>
      </w:pPr>
      <w:r w:rsidRPr="00731BB3">
        <w:rPr>
          <w:rFonts w:ascii="Calibri" w:hAnsi="Calibri" w:cs="Calibri"/>
          <w:szCs w:val="21"/>
        </w:rPr>
        <w:t>In addition to the main datasets used for estimation, several auxiliary CSV files are included to improve transparency and reproducibility of the analysis. These files provide structured information on country classifications, clustering schemes, metadata, and model-specific caveats.</w:t>
      </w:r>
    </w:p>
    <w:p w14:paraId="53B66A93" w14:textId="77777777" w:rsidR="00731BB3" w:rsidRPr="00731BB3" w:rsidRDefault="00731BB3" w:rsidP="00731BB3">
      <w:pPr>
        <w:spacing w:after="0"/>
        <w:rPr>
          <w:rFonts w:ascii="Calibri" w:hAnsi="Calibri" w:cs="Calibri"/>
          <w:szCs w:val="21"/>
        </w:rPr>
      </w:pPr>
    </w:p>
    <w:p w14:paraId="4DD1515E" w14:textId="18237E38" w:rsidR="00731BB3" w:rsidRDefault="00731BB3" w:rsidP="00731BB3">
      <w:pPr>
        <w:spacing w:after="0"/>
        <w:rPr>
          <w:rFonts w:ascii="Calibri" w:hAnsi="Calibri" w:cs="Calibri"/>
          <w:szCs w:val="21"/>
        </w:rPr>
      </w:pPr>
      <w:r w:rsidRPr="00731BB3">
        <w:rPr>
          <w:rFonts w:ascii="Calibri" w:hAnsi="Calibri" w:cs="Calibri"/>
          <w:szCs w:val="21"/>
        </w:rPr>
        <w:t>In particular, the metadata table documents variable definitions, sources, and transformations; the country table and clustering tables define regional and structural groupings used in the graphical analysis; and the model-specific caveat tables summarize known limitations or interpretative notes for each specification. These files are not directly used in the estimation procedures, but serve as documentation tools to ensure clarity and consistency throughout the project.</w:t>
      </w:r>
    </w:p>
    <w:p w14:paraId="488F49D2" w14:textId="77777777" w:rsidR="00731BB3" w:rsidRPr="00731BB3" w:rsidRDefault="00731BB3" w:rsidP="00731BB3">
      <w:pPr>
        <w:spacing w:after="0"/>
        <w:rPr>
          <w:rFonts w:ascii="Calibri" w:hAnsi="Calibri" w:cs="Calibri"/>
          <w:szCs w:val="21"/>
        </w:rPr>
      </w:pPr>
    </w:p>
    <w:p w14:paraId="5A210493" w14:textId="28767666"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7. </w:t>
      </w:r>
      <w:r w:rsidR="00907E79" w:rsidRPr="00731BB3">
        <w:rPr>
          <w:rFonts w:ascii="Calibri" w:hAnsi="Calibri" w:cs="Calibri"/>
          <w:color w:val="203864"/>
        </w:rPr>
        <w:t xml:space="preserve">Empirical </w:t>
      </w:r>
      <w:r w:rsidR="00731BB3">
        <w:rPr>
          <w:rFonts w:ascii="Calibri" w:hAnsi="Calibri" w:cs="Calibri"/>
          <w:color w:val="203864"/>
        </w:rPr>
        <w:t>P</w:t>
      </w:r>
      <w:r w:rsidR="00907E79" w:rsidRPr="00731BB3">
        <w:rPr>
          <w:rFonts w:ascii="Calibri" w:hAnsi="Calibri" w:cs="Calibri"/>
          <w:color w:val="203864"/>
        </w:rPr>
        <w:t>ipeline and</w:t>
      </w:r>
      <w:r w:rsidRPr="00731BB3">
        <w:rPr>
          <w:rFonts w:ascii="Calibri" w:hAnsi="Calibri" w:cs="Calibri"/>
          <w:color w:val="203864"/>
        </w:rPr>
        <w:t xml:space="preserve"> </w:t>
      </w:r>
      <w:r w:rsidR="00731BB3">
        <w:rPr>
          <w:rFonts w:ascii="Calibri" w:hAnsi="Calibri" w:cs="Calibri"/>
          <w:color w:val="203864"/>
        </w:rPr>
        <w:t>E</w:t>
      </w:r>
      <w:r w:rsidRPr="00731BB3">
        <w:rPr>
          <w:rFonts w:ascii="Calibri" w:hAnsi="Calibri" w:cs="Calibri"/>
          <w:color w:val="203864"/>
        </w:rPr>
        <w:t>xplanation</w:t>
      </w:r>
    </w:p>
    <w:p w14:paraId="35231A11" w14:textId="77777777" w:rsidR="00797C11" w:rsidRPr="00731BB3" w:rsidRDefault="00797C11" w:rsidP="00797C11">
      <w:pPr>
        <w:spacing w:after="0"/>
        <w:rPr>
          <w:rFonts w:ascii="Calibri" w:hAnsi="Calibri" w:cs="Calibri"/>
          <w:szCs w:val="21"/>
        </w:rPr>
      </w:pPr>
    </w:p>
    <w:p w14:paraId="29A6EE9D" w14:textId="64BCEA8B"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1 — Load and Inspect the Dataset</w:t>
      </w:r>
    </w:p>
    <w:p w14:paraId="5BB389BF" w14:textId="436ECF42" w:rsidR="00E62AE0" w:rsidRPr="00731BB3" w:rsidRDefault="005A224E" w:rsidP="00E62AE0">
      <w:pPr>
        <w:spacing w:after="0"/>
        <w:rPr>
          <w:rFonts w:ascii="Calibri" w:hAnsi="Calibri" w:cs="Calibri"/>
          <w:szCs w:val="21"/>
        </w:rPr>
      </w:pPr>
      <w:r w:rsidRPr="00731BB3">
        <w:rPr>
          <w:rFonts w:ascii="Calibri" w:hAnsi="Calibri" w:cs="Calibri"/>
          <w:bCs/>
          <w:szCs w:val="21"/>
        </w:rPr>
        <w:t>The datasets are imported from CSV files (Model 1, Model 2, and world sample)</w:t>
      </w:r>
      <w:r w:rsidR="00000000" w:rsidRPr="00731BB3">
        <w:rPr>
          <w:rFonts w:ascii="Calibri" w:hAnsi="Calibri" w:cs="Calibri"/>
          <w:bCs/>
          <w:szCs w:val="21"/>
        </w:rPr>
        <w:t>. Then column names, structure, descriptive statistics, number of observations, and the amount of missing values by column</w:t>
      </w:r>
      <w:r w:rsidR="000F1062" w:rsidRPr="00731BB3">
        <w:rPr>
          <w:rFonts w:ascii="Calibri" w:hAnsi="Calibri" w:cs="Calibri"/>
          <w:bCs/>
          <w:szCs w:val="21"/>
        </w:rPr>
        <w:t xml:space="preserve"> is checked</w:t>
      </w:r>
      <w:r w:rsidR="00000000" w:rsidRPr="00731BB3">
        <w:rPr>
          <w:rFonts w:ascii="Calibri" w:hAnsi="Calibri" w:cs="Calibri"/>
          <w:bCs/>
          <w:szCs w:val="21"/>
        </w:rPr>
        <w:t xml:space="preserve">. </w:t>
      </w:r>
    </w:p>
    <w:p w14:paraId="3733F49A" w14:textId="77777777" w:rsidR="00E62AE0" w:rsidRPr="00731BB3" w:rsidRDefault="00E62AE0" w:rsidP="00E62AE0">
      <w:pPr>
        <w:spacing w:after="0"/>
        <w:rPr>
          <w:rFonts w:ascii="Calibri" w:hAnsi="Calibri" w:cs="Calibri"/>
          <w:szCs w:val="21"/>
        </w:rPr>
      </w:pPr>
    </w:p>
    <w:p w14:paraId="35D422A6" w14:textId="13E7B07F"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2 — Rename Variables and Prepare Metadata</w:t>
      </w:r>
    </w:p>
    <w:p w14:paraId="11EC4FB3" w14:textId="77777777" w:rsidR="005A224E" w:rsidRPr="00731BB3" w:rsidRDefault="005A224E" w:rsidP="005A224E">
      <w:pPr>
        <w:pStyle w:val="Heading2"/>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Variables are renamed using short and manageable labels. A numeric subset is then constructed for correlation analysis and regression estimation, together with clustering vectors.</w:t>
      </w:r>
    </w:p>
    <w:p w14:paraId="61A08576" w14:textId="253F8C0B" w:rsidR="005A224E" w:rsidRPr="00731BB3" w:rsidRDefault="005A224E" w:rsidP="005A224E">
      <w:pPr>
        <w:pStyle w:val="Heading2"/>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Clustering variables differ across datasets:</w:t>
      </w:r>
    </w:p>
    <w:p w14:paraId="662CF07B" w14:textId="77777777" w:rsidR="005A224E" w:rsidRPr="00731BB3" w:rsidRDefault="005A224E" w:rsidP="005A224E">
      <w:pPr>
        <w:pStyle w:val="Heading2"/>
        <w:spacing w:before="0"/>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 Model 1 and Model 2 use region, core growth model, and institutional stability.</w:t>
      </w:r>
    </w:p>
    <w:p w14:paraId="4A63D749" w14:textId="77777777" w:rsidR="005A224E" w:rsidRPr="00731BB3" w:rsidRDefault="005A224E" w:rsidP="005A224E">
      <w:pPr>
        <w:pStyle w:val="Heading2"/>
        <w:spacing w:before="0"/>
        <w:rPr>
          <w:rFonts w:ascii="Calibri" w:eastAsiaTheme="minorEastAsia" w:hAnsi="Calibri" w:cs="Calibri"/>
          <w:b w:val="0"/>
          <w:color w:val="auto"/>
          <w:sz w:val="21"/>
          <w:szCs w:val="21"/>
        </w:rPr>
      </w:pPr>
      <w:r w:rsidRPr="00731BB3">
        <w:rPr>
          <w:rFonts w:ascii="Calibri" w:eastAsiaTheme="minorEastAsia" w:hAnsi="Calibri" w:cs="Calibri"/>
          <w:b w:val="0"/>
          <w:color w:val="auto"/>
          <w:sz w:val="21"/>
          <w:szCs w:val="21"/>
        </w:rPr>
        <w:t>- The world sample uses region and a broader cluster classification.</w:t>
      </w:r>
    </w:p>
    <w:p w14:paraId="04BC8ADC" w14:textId="77777777" w:rsidR="005A224E" w:rsidRPr="00731BB3" w:rsidRDefault="005A224E" w:rsidP="005A224E">
      <w:pPr>
        <w:pStyle w:val="Heading2"/>
        <w:spacing w:before="0"/>
        <w:rPr>
          <w:rFonts w:ascii="Calibri" w:eastAsiaTheme="minorEastAsia" w:hAnsi="Calibri" w:cs="Calibri"/>
          <w:b w:val="0"/>
          <w:color w:val="auto"/>
          <w:sz w:val="21"/>
          <w:szCs w:val="21"/>
        </w:rPr>
      </w:pPr>
    </w:p>
    <w:p w14:paraId="246F74C4" w14:textId="7346F89D" w:rsidR="00797C11" w:rsidRPr="00731BB3" w:rsidRDefault="00000000" w:rsidP="005A224E">
      <w:pPr>
        <w:pStyle w:val="Heading2"/>
        <w:spacing w:before="0"/>
        <w:rPr>
          <w:rFonts w:ascii="Calibri" w:hAnsi="Calibri" w:cs="Calibri"/>
          <w:sz w:val="25"/>
          <w:szCs w:val="25"/>
        </w:rPr>
      </w:pPr>
      <w:r w:rsidRPr="00731BB3">
        <w:rPr>
          <w:rFonts w:ascii="Calibri" w:hAnsi="Calibri" w:cs="Calibri"/>
          <w:color w:val="2F5597"/>
          <w:sz w:val="25"/>
          <w:szCs w:val="25"/>
        </w:rPr>
        <w:t>Step 3 — Correlation Matrix</w:t>
      </w:r>
    </w:p>
    <w:p w14:paraId="022C01FB" w14:textId="1421F3E3" w:rsidR="00797C11" w:rsidRPr="00731BB3" w:rsidRDefault="00000000" w:rsidP="00797C11">
      <w:pPr>
        <w:spacing w:after="0"/>
        <w:rPr>
          <w:rFonts w:ascii="Calibri" w:hAnsi="Calibri" w:cs="Calibri"/>
          <w:szCs w:val="21"/>
        </w:rPr>
      </w:pPr>
      <w:r w:rsidRPr="00731BB3">
        <w:rPr>
          <w:rFonts w:ascii="Calibri" w:hAnsi="Calibri" w:cs="Calibri"/>
          <w:bCs/>
          <w:szCs w:val="21"/>
        </w:rPr>
        <w:t xml:space="preserve">First the full matrix </w:t>
      </w:r>
      <w:r w:rsidR="000F1062" w:rsidRPr="00731BB3">
        <w:rPr>
          <w:rFonts w:ascii="Calibri" w:hAnsi="Calibri" w:cs="Calibri"/>
          <w:bCs/>
          <w:szCs w:val="21"/>
        </w:rPr>
        <w:t xml:space="preserve">is calculated </w:t>
      </w:r>
      <w:r w:rsidRPr="00731BB3">
        <w:rPr>
          <w:rFonts w:ascii="Calibri" w:hAnsi="Calibri" w:cs="Calibri"/>
          <w:bCs/>
          <w:szCs w:val="21"/>
        </w:rPr>
        <w:t xml:space="preserve">and then some selected pairwise correlations. The full matrix is used to avoid cherry-picking; the selected correlations are used to guide scatter plots and regressions according to the three theoretical blocks: </w:t>
      </w:r>
      <w:r w:rsidR="005A224E" w:rsidRPr="00731BB3">
        <w:rPr>
          <w:rFonts w:ascii="Calibri" w:hAnsi="Calibri" w:cs="Calibri"/>
          <w:bCs/>
          <w:szCs w:val="21"/>
        </w:rPr>
        <w:t>governance</w:t>
      </w:r>
      <w:r w:rsidRPr="00731BB3">
        <w:rPr>
          <w:rFonts w:ascii="Calibri" w:hAnsi="Calibri" w:cs="Calibri"/>
          <w:bCs/>
          <w:szCs w:val="21"/>
        </w:rPr>
        <w:t>, structure, and resource curse.</w:t>
      </w:r>
    </w:p>
    <w:p w14:paraId="61058FEC" w14:textId="77777777" w:rsidR="00797C11" w:rsidRPr="00731BB3" w:rsidRDefault="00797C11" w:rsidP="00797C11">
      <w:pPr>
        <w:spacing w:after="0"/>
        <w:rPr>
          <w:rFonts w:ascii="Calibri" w:hAnsi="Calibri" w:cs="Calibri"/>
          <w:szCs w:val="21"/>
        </w:rPr>
      </w:pPr>
    </w:p>
    <w:p w14:paraId="7F618EFF" w14:textId="36796E55" w:rsidR="00797C11" w:rsidRPr="00731BB3" w:rsidRDefault="00000000" w:rsidP="00907E79">
      <w:pPr>
        <w:pStyle w:val="Heading2"/>
        <w:spacing w:before="0"/>
        <w:rPr>
          <w:rFonts w:ascii="Calibri" w:hAnsi="Calibri" w:cs="Calibri"/>
          <w:sz w:val="25"/>
          <w:szCs w:val="25"/>
        </w:rPr>
      </w:pPr>
      <w:r w:rsidRPr="00731BB3">
        <w:rPr>
          <w:rFonts w:ascii="Calibri" w:hAnsi="Calibri" w:cs="Calibri"/>
          <w:color w:val="2F5597"/>
          <w:sz w:val="25"/>
          <w:szCs w:val="25"/>
        </w:rPr>
        <w:t>Step 4 — Scatter Plot Diagnostics</w:t>
      </w:r>
    </w:p>
    <w:p w14:paraId="3307ABC7" w14:textId="66A4ED2A" w:rsidR="00E62AE0" w:rsidRPr="00731BB3" w:rsidRDefault="00A33E7A" w:rsidP="00E62AE0">
      <w:pPr>
        <w:spacing w:after="0"/>
        <w:rPr>
          <w:rFonts w:ascii="Calibri" w:hAnsi="Calibri" w:cs="Calibri"/>
          <w:bCs/>
          <w:szCs w:val="21"/>
        </w:rPr>
      </w:pPr>
      <w:r w:rsidRPr="00731BB3">
        <w:rPr>
          <w:rFonts w:ascii="Calibri" w:hAnsi="Calibri" w:cs="Calibri"/>
          <w:bCs/>
          <w:szCs w:val="21"/>
        </w:rPr>
        <w:t>Country codes are used as point labels, while axes are reported using short variable names and titles include full definitions with units and reference years. Each scatter plot is generated separately to preserve clarity. The selection of plotted relationships follows theoretical relevance rather than a mechanical enumeration of all possible variable pairs.</w:t>
      </w:r>
    </w:p>
    <w:p w14:paraId="7B63986A" w14:textId="77777777" w:rsidR="00A33E7A" w:rsidRPr="00731BB3" w:rsidRDefault="00A33E7A" w:rsidP="00E62AE0">
      <w:pPr>
        <w:spacing w:after="0"/>
        <w:rPr>
          <w:rFonts w:ascii="Calibri" w:hAnsi="Calibri" w:cs="Calibri"/>
          <w:szCs w:val="21"/>
        </w:rPr>
      </w:pPr>
    </w:p>
    <w:p w14:paraId="436846F9" w14:textId="5F3B7EAD"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5 — Baseline Development Model</w:t>
      </w:r>
    </w:p>
    <w:p w14:paraId="5CA66FE9" w14:textId="7FD3C54E" w:rsidR="00797C11" w:rsidRPr="00731BB3" w:rsidRDefault="00000000" w:rsidP="00797C11">
      <w:pPr>
        <w:spacing w:after="0"/>
        <w:rPr>
          <w:rFonts w:ascii="Calibri" w:hAnsi="Calibri" w:cs="Calibri"/>
          <w:bCs/>
          <w:szCs w:val="21"/>
        </w:rPr>
      </w:pPr>
      <w:r w:rsidRPr="00731BB3">
        <w:rPr>
          <w:rFonts w:ascii="Calibri" w:hAnsi="Calibri" w:cs="Calibri"/>
          <w:bCs/>
          <w:szCs w:val="21"/>
        </w:rPr>
        <w:t xml:space="preserve">This is the baseline model. The summary returns coefficients, standard errors, t-statistics, p-values, R-squared, and the number of observations used. </w:t>
      </w:r>
      <w:r w:rsidR="00A33E7A" w:rsidRPr="00731BB3">
        <w:rPr>
          <w:rFonts w:ascii="Calibri" w:hAnsi="Calibri" w:cs="Calibri"/>
          <w:bCs/>
          <w:szCs w:val="21"/>
        </w:rPr>
        <w:t>Interpretation focuses primarily on the sign of coefficients, economic plausibility, statistical significance, and overall model stability.</w:t>
      </w:r>
    </w:p>
    <w:p w14:paraId="4C01B320" w14:textId="77777777" w:rsidR="00A33E7A" w:rsidRPr="00731BB3" w:rsidRDefault="00A33E7A" w:rsidP="00797C11">
      <w:pPr>
        <w:spacing w:after="0"/>
        <w:rPr>
          <w:rFonts w:ascii="Calibri" w:hAnsi="Calibri" w:cs="Calibri"/>
          <w:szCs w:val="21"/>
        </w:rPr>
      </w:pPr>
    </w:p>
    <w:p w14:paraId="655E6B1B" w14:textId="7777777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lastRenderedPageBreak/>
        <w:t>Step 6 — Structure of the Economy Models</w:t>
      </w:r>
    </w:p>
    <w:p w14:paraId="4112821B" w14:textId="24A23072" w:rsidR="00797C11" w:rsidRPr="00731BB3" w:rsidRDefault="00000000" w:rsidP="00797C11">
      <w:pPr>
        <w:spacing w:after="0"/>
        <w:rPr>
          <w:rFonts w:ascii="Calibri" w:hAnsi="Calibri" w:cs="Calibri"/>
          <w:bCs/>
          <w:szCs w:val="21"/>
        </w:rPr>
      </w:pPr>
      <w:r w:rsidRPr="00731BB3">
        <w:rPr>
          <w:rFonts w:ascii="Calibri" w:hAnsi="Calibri" w:cs="Calibri"/>
          <w:bCs/>
          <w:szCs w:val="21"/>
        </w:rPr>
        <w:t>The logic is to compare three specifications: manufacturing only, services only, and both together. If the coefficients of manufacturing and services change a lot when they are in the same model, this suggests possible compositional overlap or collinearity.</w:t>
      </w:r>
    </w:p>
    <w:p w14:paraId="57EA26EB" w14:textId="77777777" w:rsidR="00797C11" w:rsidRPr="00731BB3" w:rsidRDefault="00797C11" w:rsidP="00797C11">
      <w:pPr>
        <w:spacing w:after="0"/>
        <w:rPr>
          <w:rFonts w:ascii="Calibri" w:hAnsi="Calibri" w:cs="Calibri"/>
          <w:szCs w:val="21"/>
        </w:rPr>
      </w:pPr>
    </w:p>
    <w:p w14:paraId="219C150E" w14:textId="0F4ABBC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7 — Resource Curse Model with Interaction</w:t>
      </w:r>
    </w:p>
    <w:p w14:paraId="3FE5D67C" w14:textId="0937FA47" w:rsidR="00797C11" w:rsidRPr="00731BB3" w:rsidRDefault="00000000" w:rsidP="00797C11">
      <w:pPr>
        <w:spacing w:after="0"/>
        <w:rPr>
          <w:rFonts w:ascii="Calibri" w:hAnsi="Calibri" w:cs="Calibri"/>
          <w:bCs/>
          <w:szCs w:val="21"/>
        </w:rPr>
      </w:pPr>
      <w:r w:rsidRPr="00731BB3">
        <w:rPr>
          <w:rFonts w:ascii="Calibri" w:hAnsi="Calibri" w:cs="Calibri"/>
          <w:bCs/>
          <w:szCs w:val="21"/>
        </w:rPr>
        <w:t xml:space="preserve">An interaction enters here. The coefficient of resource_rents_2021 alone </w:t>
      </w:r>
      <w:r w:rsidR="000F1062" w:rsidRPr="00731BB3">
        <w:rPr>
          <w:rFonts w:ascii="Calibri" w:hAnsi="Calibri" w:cs="Calibri"/>
          <w:bCs/>
          <w:szCs w:val="21"/>
        </w:rPr>
        <w:t>is not</w:t>
      </w:r>
      <w:r w:rsidRPr="00731BB3">
        <w:rPr>
          <w:rFonts w:ascii="Calibri" w:hAnsi="Calibri" w:cs="Calibri"/>
          <w:bCs/>
          <w:szCs w:val="21"/>
        </w:rPr>
        <w:t xml:space="preserve"> interpreted as a universal average effect: with the interaction, the effect of resources depends on the level of governance. The result </w:t>
      </w:r>
      <w:r w:rsidR="000F1062" w:rsidRPr="00731BB3">
        <w:rPr>
          <w:rFonts w:ascii="Calibri" w:hAnsi="Calibri" w:cs="Calibri"/>
          <w:bCs/>
          <w:szCs w:val="21"/>
        </w:rPr>
        <w:t xml:space="preserve">should </w:t>
      </w:r>
      <w:r w:rsidRPr="00731BB3">
        <w:rPr>
          <w:rFonts w:ascii="Calibri" w:hAnsi="Calibri" w:cs="Calibri"/>
          <w:bCs/>
          <w:szCs w:val="21"/>
        </w:rPr>
        <w:t>therefore be read with caution and with attention to the combined signs of the two terms.</w:t>
      </w:r>
    </w:p>
    <w:p w14:paraId="7B17B3F0" w14:textId="77777777" w:rsidR="00797C11" w:rsidRPr="00731BB3" w:rsidRDefault="00797C11" w:rsidP="00797C11">
      <w:pPr>
        <w:spacing w:after="0"/>
        <w:rPr>
          <w:rFonts w:ascii="Calibri" w:hAnsi="Calibri" w:cs="Calibri"/>
          <w:szCs w:val="21"/>
        </w:rPr>
      </w:pPr>
    </w:p>
    <w:p w14:paraId="67B420A1" w14:textId="7EB6A506"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8 — Expanded Baseline with Resources and FDI</w:t>
      </w:r>
    </w:p>
    <w:p w14:paraId="591AD4B3" w14:textId="6D59A64F" w:rsidR="00797C11" w:rsidRPr="00731BB3" w:rsidRDefault="00000000" w:rsidP="00797C11">
      <w:pPr>
        <w:spacing w:after="0"/>
        <w:rPr>
          <w:rFonts w:ascii="Calibri" w:hAnsi="Calibri" w:cs="Calibri"/>
          <w:szCs w:val="21"/>
        </w:rPr>
      </w:pPr>
      <w:r w:rsidRPr="00731BB3">
        <w:rPr>
          <w:rFonts w:ascii="Calibri" w:hAnsi="Calibri" w:cs="Calibri"/>
          <w:bCs/>
          <w:szCs w:val="21"/>
        </w:rPr>
        <w:t>This model adds to the baseline a measure of resource dependence and a measure of foreign capital. It is useful as a comparison with the resource curse model: here there is no interaction, but a more linear and readable specification.</w:t>
      </w:r>
    </w:p>
    <w:p w14:paraId="6DFC2F7C" w14:textId="77777777" w:rsidR="00797C11" w:rsidRPr="00731BB3" w:rsidRDefault="00797C11" w:rsidP="00797C11">
      <w:pPr>
        <w:spacing w:after="0"/>
        <w:rPr>
          <w:rFonts w:ascii="Calibri" w:hAnsi="Calibri" w:cs="Calibri"/>
          <w:szCs w:val="21"/>
        </w:rPr>
      </w:pPr>
    </w:p>
    <w:p w14:paraId="671E258B" w14:textId="768EA347" w:rsidR="00C50DED" w:rsidRPr="00731BB3" w:rsidRDefault="00000000" w:rsidP="00797C11">
      <w:pPr>
        <w:pStyle w:val="Heading2"/>
        <w:spacing w:before="0"/>
        <w:rPr>
          <w:rFonts w:ascii="Calibri" w:hAnsi="Calibri" w:cs="Calibri"/>
          <w:sz w:val="25"/>
          <w:szCs w:val="25"/>
        </w:rPr>
      </w:pPr>
      <w:r w:rsidRPr="00731BB3">
        <w:rPr>
          <w:rFonts w:ascii="Calibri" w:hAnsi="Calibri" w:cs="Calibri"/>
          <w:color w:val="2F5597"/>
          <w:sz w:val="25"/>
          <w:szCs w:val="25"/>
        </w:rPr>
        <w:t>Step 9 — Basic Robustness Checks for Model 1</w:t>
      </w:r>
    </w:p>
    <w:p w14:paraId="1D147736" w14:textId="7E209889" w:rsidR="00797C11" w:rsidRPr="00731BB3" w:rsidRDefault="00907E79" w:rsidP="00797C11">
      <w:pPr>
        <w:spacing w:after="0"/>
        <w:rPr>
          <w:rFonts w:ascii="Calibri" w:hAnsi="Calibri" w:cs="Calibri"/>
          <w:bCs/>
          <w:szCs w:val="21"/>
        </w:rPr>
      </w:pPr>
      <w:r w:rsidRPr="00731BB3">
        <w:rPr>
          <w:rFonts w:ascii="Calibri" w:hAnsi="Calibri" w:cs="Calibri"/>
          <w:bCs/>
          <w:szCs w:val="21"/>
        </w:rPr>
        <w:t>The first robustness check is often simple but important: how many observations does each model use? Then you can run targeted checks on outliers. If the key coefficient changes completely when removing a single country, the result should be reported with caution.</w:t>
      </w:r>
    </w:p>
    <w:p w14:paraId="62192F74" w14:textId="77777777" w:rsidR="00797C11" w:rsidRPr="00731BB3" w:rsidRDefault="00797C11" w:rsidP="00797C11">
      <w:pPr>
        <w:spacing w:after="0"/>
        <w:rPr>
          <w:rFonts w:ascii="Calibri" w:hAnsi="Calibri" w:cs="Calibri"/>
          <w:szCs w:val="21"/>
        </w:rPr>
      </w:pPr>
    </w:p>
    <w:p w14:paraId="36185BF7" w14:textId="77777777" w:rsidR="00C50DED" w:rsidRPr="00731BB3" w:rsidRDefault="00000000" w:rsidP="00797C11">
      <w:pPr>
        <w:pStyle w:val="Heading2"/>
        <w:spacing w:before="0"/>
        <w:rPr>
          <w:rFonts w:ascii="Calibri" w:hAnsi="Calibri" w:cs="Calibri"/>
        </w:rPr>
      </w:pPr>
      <w:r w:rsidRPr="00731BB3">
        <w:rPr>
          <w:rFonts w:ascii="Calibri" w:hAnsi="Calibri" w:cs="Calibri"/>
          <w:color w:val="2F5597"/>
          <w:sz w:val="24"/>
        </w:rPr>
        <w:t>Step 10 — Load and Inspect the Growth Dataset</w:t>
      </w:r>
    </w:p>
    <w:p w14:paraId="2C2BA7CF" w14:textId="5B567F2A" w:rsidR="00797C11" w:rsidRPr="00731BB3" w:rsidRDefault="000F1062" w:rsidP="00797C11">
      <w:pPr>
        <w:spacing w:after="0"/>
        <w:rPr>
          <w:rFonts w:ascii="Calibri" w:hAnsi="Calibri" w:cs="Calibri"/>
          <w:bCs/>
          <w:szCs w:val="21"/>
        </w:rPr>
      </w:pPr>
      <w:r w:rsidRPr="00731BB3">
        <w:rPr>
          <w:rFonts w:ascii="Calibri" w:hAnsi="Calibri" w:cs="Calibri"/>
          <w:bCs/>
          <w:szCs w:val="21"/>
        </w:rPr>
        <w:t>T</w:t>
      </w:r>
      <w:r w:rsidR="00000000" w:rsidRPr="00731BB3">
        <w:rPr>
          <w:rFonts w:ascii="Calibri" w:hAnsi="Calibri" w:cs="Calibri"/>
          <w:bCs/>
          <w:szCs w:val="21"/>
        </w:rPr>
        <w:t>he same scheme</w:t>
      </w:r>
      <w:r w:rsidRPr="00731BB3">
        <w:rPr>
          <w:rFonts w:ascii="Calibri" w:hAnsi="Calibri" w:cs="Calibri"/>
          <w:bCs/>
          <w:szCs w:val="21"/>
        </w:rPr>
        <w:t xml:space="preserve"> is repeated</w:t>
      </w:r>
      <w:r w:rsidR="00000000" w:rsidRPr="00731BB3">
        <w:rPr>
          <w:rFonts w:ascii="Calibri" w:hAnsi="Calibri" w:cs="Calibri"/>
          <w:bCs/>
          <w:szCs w:val="21"/>
        </w:rPr>
        <w:t xml:space="preserve"> for the growth dataset. The initial check is identical because here too it is necessary to confirm names, types, number of observations, and missing values before moving on to the models.</w:t>
      </w:r>
    </w:p>
    <w:p w14:paraId="08EB74E7" w14:textId="77777777" w:rsidR="000F1062" w:rsidRPr="00731BB3" w:rsidRDefault="000F1062" w:rsidP="00797C11">
      <w:pPr>
        <w:spacing w:after="0"/>
        <w:rPr>
          <w:rFonts w:ascii="Calibri" w:hAnsi="Calibri" w:cs="Calibri"/>
          <w:bCs/>
          <w:szCs w:val="21"/>
        </w:rPr>
      </w:pPr>
    </w:p>
    <w:p w14:paraId="1D32F286" w14:textId="6D922647" w:rsidR="00284834" w:rsidRPr="00731BB3" w:rsidRDefault="00000000" w:rsidP="00907E79">
      <w:pPr>
        <w:pStyle w:val="Heading2"/>
        <w:spacing w:before="0"/>
        <w:rPr>
          <w:rFonts w:ascii="Calibri" w:hAnsi="Calibri" w:cs="Calibri"/>
        </w:rPr>
      </w:pPr>
      <w:r w:rsidRPr="00731BB3">
        <w:rPr>
          <w:rFonts w:ascii="Calibri" w:hAnsi="Calibri" w:cs="Calibri"/>
          <w:color w:val="2F5597"/>
          <w:sz w:val="24"/>
        </w:rPr>
        <w:t>Step 11 — Growth Correlation Matrix and Baseline Regression</w:t>
      </w:r>
    </w:p>
    <w:p w14:paraId="1D1F9762" w14:textId="42C3D368" w:rsidR="00E62AE0" w:rsidRPr="00731BB3" w:rsidRDefault="00907E79" w:rsidP="00797C11">
      <w:pPr>
        <w:spacing w:after="0"/>
        <w:rPr>
          <w:rFonts w:ascii="Calibri" w:hAnsi="Calibri" w:cs="Calibri"/>
          <w:szCs w:val="21"/>
        </w:rPr>
      </w:pPr>
      <w:r w:rsidRPr="00731BB3">
        <w:rPr>
          <w:rFonts w:ascii="Calibri" w:hAnsi="Calibri" w:cs="Calibri"/>
          <w:bCs/>
          <w:szCs w:val="21"/>
        </w:rPr>
        <w:t>For the growth model, at least in the initial phase, a baseline is sufficient. The regressors are averages of levels and the dependent variable is GDP per capita growth. The logic here is much more parsimonious than in Model 1, precisely to avoid over-specifying before seeing the results.</w:t>
      </w:r>
    </w:p>
    <w:p w14:paraId="789C717E" w14:textId="77777777" w:rsidR="00E62AE0" w:rsidRPr="00731BB3" w:rsidRDefault="00E62AE0" w:rsidP="00797C11">
      <w:pPr>
        <w:spacing w:after="0"/>
        <w:rPr>
          <w:rFonts w:ascii="Calibri" w:hAnsi="Calibri" w:cs="Calibri"/>
          <w:szCs w:val="21"/>
        </w:rPr>
      </w:pPr>
    </w:p>
    <w:p w14:paraId="45E32502" w14:textId="0245DC1B" w:rsidR="00C50DED" w:rsidRPr="00731BB3" w:rsidRDefault="00F033DE" w:rsidP="00797C11">
      <w:pPr>
        <w:pStyle w:val="Heading1"/>
        <w:spacing w:before="0"/>
        <w:rPr>
          <w:rFonts w:ascii="Calibri" w:hAnsi="Calibri" w:cs="Calibri"/>
        </w:rPr>
      </w:pPr>
      <w:r w:rsidRPr="00731BB3">
        <w:rPr>
          <w:rFonts w:ascii="Calibri" w:hAnsi="Calibri" w:cs="Calibri"/>
          <w:color w:val="203864"/>
        </w:rPr>
        <w:t xml:space="preserve">8. How to </w:t>
      </w:r>
      <w:r w:rsidR="00731BB3">
        <w:rPr>
          <w:rFonts w:ascii="Calibri" w:hAnsi="Calibri" w:cs="Calibri"/>
          <w:color w:val="203864"/>
        </w:rPr>
        <w:t>R</w:t>
      </w:r>
      <w:r w:rsidRPr="00731BB3">
        <w:rPr>
          <w:rFonts w:ascii="Calibri" w:hAnsi="Calibri" w:cs="Calibri"/>
          <w:color w:val="203864"/>
        </w:rPr>
        <w:t xml:space="preserve">ead the </w:t>
      </w:r>
      <w:r w:rsidR="00731BB3">
        <w:rPr>
          <w:rFonts w:ascii="Calibri" w:hAnsi="Calibri" w:cs="Calibri"/>
          <w:color w:val="203864"/>
        </w:rPr>
        <w:t>R</w:t>
      </w:r>
      <w:r w:rsidRPr="00731BB3">
        <w:rPr>
          <w:rFonts w:ascii="Calibri" w:hAnsi="Calibri" w:cs="Calibri"/>
          <w:color w:val="203864"/>
        </w:rPr>
        <w:t xml:space="preserve">egression </w:t>
      </w:r>
      <w:r w:rsidR="00731BB3">
        <w:rPr>
          <w:rFonts w:ascii="Calibri" w:hAnsi="Calibri" w:cs="Calibri"/>
          <w:color w:val="203864"/>
        </w:rPr>
        <w:t>O</w:t>
      </w:r>
      <w:r w:rsidRPr="00731BB3">
        <w:rPr>
          <w:rFonts w:ascii="Calibri" w:hAnsi="Calibri" w:cs="Calibri"/>
          <w:color w:val="203864"/>
        </w:rPr>
        <w:t xml:space="preserve">utput </w:t>
      </w:r>
      <w:r w:rsidR="00731BB3">
        <w:rPr>
          <w:rFonts w:ascii="Calibri" w:hAnsi="Calibri" w:cs="Calibri"/>
          <w:color w:val="203864"/>
        </w:rPr>
        <w:t>O</w:t>
      </w:r>
      <w:r w:rsidRPr="00731BB3">
        <w:rPr>
          <w:rFonts w:ascii="Calibri" w:hAnsi="Calibri" w:cs="Calibri"/>
          <w:color w:val="203864"/>
        </w:rPr>
        <w:t xml:space="preserve">nce </w:t>
      </w:r>
      <w:r w:rsidR="00731BB3">
        <w:rPr>
          <w:rFonts w:ascii="Calibri" w:hAnsi="Calibri" w:cs="Calibri"/>
          <w:color w:val="203864"/>
        </w:rPr>
        <w:t>Y</w:t>
      </w:r>
      <w:r w:rsidRPr="00731BB3">
        <w:rPr>
          <w:rFonts w:ascii="Calibri" w:hAnsi="Calibri" w:cs="Calibri"/>
          <w:color w:val="203864"/>
        </w:rPr>
        <w:t xml:space="preserve">ou </w:t>
      </w:r>
      <w:r w:rsidR="00731BB3">
        <w:rPr>
          <w:rFonts w:ascii="Calibri" w:hAnsi="Calibri" w:cs="Calibri"/>
          <w:color w:val="203864"/>
        </w:rPr>
        <w:t>R</w:t>
      </w:r>
      <w:r w:rsidRPr="00731BB3">
        <w:rPr>
          <w:rFonts w:ascii="Calibri" w:hAnsi="Calibri" w:cs="Calibri"/>
          <w:color w:val="203864"/>
        </w:rPr>
        <w:t xml:space="preserve">un </w:t>
      </w:r>
      <w:r w:rsidR="00731BB3">
        <w:rPr>
          <w:rFonts w:ascii="Calibri" w:hAnsi="Calibri" w:cs="Calibri"/>
          <w:color w:val="203864"/>
        </w:rPr>
        <w:t>I</w:t>
      </w:r>
      <w:r w:rsidRPr="00731BB3">
        <w:rPr>
          <w:rFonts w:ascii="Calibri" w:hAnsi="Calibri" w:cs="Calibri"/>
          <w:color w:val="203864"/>
        </w:rPr>
        <w:t>t</w:t>
      </w:r>
    </w:p>
    <w:p w14:paraId="589B7DB5" w14:textId="7BBA2280" w:rsidR="006A3F94" w:rsidRPr="00731BB3" w:rsidRDefault="006A3F94" w:rsidP="006A3F94">
      <w:pPr>
        <w:pStyle w:val="ListBullet"/>
        <w:spacing w:after="0"/>
        <w:rPr>
          <w:rFonts w:ascii="Calibri" w:hAnsi="Calibri" w:cs="Calibri"/>
          <w:bCs/>
          <w:szCs w:val="21"/>
        </w:rPr>
      </w:pPr>
      <w:r w:rsidRPr="00731BB3">
        <w:rPr>
          <w:rFonts w:ascii="Calibri" w:hAnsi="Calibri" w:cs="Calibri"/>
          <w:b/>
          <w:szCs w:val="21"/>
        </w:rPr>
        <w:t xml:space="preserve">Coefficients: </w:t>
      </w:r>
      <w:r w:rsidRPr="00731BB3">
        <w:rPr>
          <w:rFonts w:ascii="Calibri" w:hAnsi="Calibri" w:cs="Calibri"/>
          <w:bCs/>
          <w:szCs w:val="21"/>
        </w:rPr>
        <w:t xml:space="preserve">They </w:t>
      </w:r>
      <w:r w:rsidR="00F033DE" w:rsidRPr="00731BB3">
        <w:rPr>
          <w:rFonts w:ascii="Calibri" w:hAnsi="Calibri" w:cs="Calibri"/>
          <w:bCs/>
          <w:szCs w:val="21"/>
        </w:rPr>
        <w:t>i</w:t>
      </w:r>
      <w:r w:rsidRPr="00731BB3">
        <w:rPr>
          <w:rFonts w:ascii="Calibri" w:hAnsi="Calibri" w:cs="Calibri"/>
          <w:bCs/>
          <w:szCs w:val="21"/>
        </w:rPr>
        <w:t>ndicate the sign and magnitude of the conditional relationship between each regressor and the dependent variable, holding the other regressors constant.</w:t>
      </w:r>
    </w:p>
    <w:p w14:paraId="60325F4B" w14:textId="7B5DC2EF"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Std. Error: </w:t>
      </w:r>
      <w:r w:rsidR="00F033DE" w:rsidRPr="00731BB3">
        <w:rPr>
          <w:rFonts w:ascii="Calibri" w:hAnsi="Calibri" w:cs="Calibri"/>
          <w:bCs/>
          <w:szCs w:val="21"/>
        </w:rPr>
        <w:t>It</w:t>
      </w:r>
      <w:r w:rsidRPr="00731BB3">
        <w:rPr>
          <w:rFonts w:ascii="Calibri" w:hAnsi="Calibri" w:cs="Calibri"/>
          <w:bCs/>
          <w:szCs w:val="21"/>
        </w:rPr>
        <w:t xml:space="preserve"> measures how precisely the coefficient is estimated. Large standard errors imply greater uncertainty</w:t>
      </w:r>
      <w:r w:rsidRPr="00731BB3">
        <w:rPr>
          <w:rFonts w:ascii="Calibri" w:hAnsi="Calibri" w:cs="Calibri"/>
          <w:b/>
          <w:szCs w:val="21"/>
        </w:rPr>
        <w:t>.</w:t>
      </w:r>
    </w:p>
    <w:p w14:paraId="077EB896" w14:textId="7F562BE5" w:rsidR="006A3F94" w:rsidRPr="00731BB3" w:rsidRDefault="006A3F94" w:rsidP="006A3F94">
      <w:pPr>
        <w:pStyle w:val="ListBullet"/>
        <w:spacing w:after="0"/>
        <w:rPr>
          <w:rFonts w:ascii="Calibri" w:hAnsi="Calibri" w:cs="Calibri"/>
          <w:bCs/>
          <w:szCs w:val="21"/>
        </w:rPr>
      </w:pPr>
      <w:r w:rsidRPr="00731BB3">
        <w:rPr>
          <w:rFonts w:ascii="Calibri" w:hAnsi="Calibri" w:cs="Calibri"/>
          <w:b/>
          <w:szCs w:val="21"/>
        </w:rPr>
        <w:t xml:space="preserve">t value </w:t>
      </w:r>
      <w:r w:rsidR="00F033DE" w:rsidRPr="00731BB3">
        <w:rPr>
          <w:rFonts w:ascii="Calibri" w:hAnsi="Calibri" w:cs="Calibri"/>
          <w:b/>
          <w:szCs w:val="21"/>
        </w:rPr>
        <w:t>and</w:t>
      </w:r>
      <w:r w:rsidRPr="00731BB3">
        <w:rPr>
          <w:rFonts w:ascii="Calibri" w:hAnsi="Calibri" w:cs="Calibri"/>
          <w:b/>
          <w:szCs w:val="21"/>
        </w:rPr>
        <w:t xml:space="preserve"> p-value: </w:t>
      </w:r>
      <w:r w:rsidRPr="00731BB3">
        <w:rPr>
          <w:rFonts w:ascii="Calibri" w:hAnsi="Calibri" w:cs="Calibri"/>
          <w:bCs/>
          <w:szCs w:val="21"/>
        </w:rPr>
        <w:t>They are used to assess the statistical significance of the coefficient under the null hypothesis that the coefficient is equal to zero.</w:t>
      </w:r>
    </w:p>
    <w:p w14:paraId="237BFB08" w14:textId="09BEA496"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R-squared </w:t>
      </w:r>
      <w:r w:rsidR="00F033DE" w:rsidRPr="00731BB3">
        <w:rPr>
          <w:rFonts w:ascii="Calibri" w:hAnsi="Calibri" w:cs="Calibri"/>
          <w:b/>
          <w:szCs w:val="21"/>
        </w:rPr>
        <w:t>and</w:t>
      </w:r>
      <w:r w:rsidRPr="00731BB3">
        <w:rPr>
          <w:rFonts w:ascii="Calibri" w:hAnsi="Calibri" w:cs="Calibri"/>
          <w:b/>
          <w:szCs w:val="21"/>
        </w:rPr>
        <w:t xml:space="preserve"> Adjusted R-squared: </w:t>
      </w:r>
      <w:r w:rsidRPr="00731BB3">
        <w:rPr>
          <w:rFonts w:ascii="Calibri" w:hAnsi="Calibri" w:cs="Calibri"/>
          <w:bCs/>
          <w:szCs w:val="21"/>
        </w:rPr>
        <w:t>They indicate how much of the variation in the dependent variable is explained by the model, but they should not be read on their own as an absolute criterion of model quality.</w:t>
      </w:r>
    </w:p>
    <w:p w14:paraId="665A1FA5" w14:textId="77777777" w:rsidR="006A3F94" w:rsidRPr="00731BB3" w:rsidRDefault="006A3F94" w:rsidP="006A3F94">
      <w:pPr>
        <w:pStyle w:val="ListBullet"/>
        <w:spacing w:after="0"/>
        <w:rPr>
          <w:rFonts w:ascii="Calibri" w:hAnsi="Calibri" w:cs="Calibri"/>
          <w:b/>
          <w:szCs w:val="21"/>
        </w:rPr>
      </w:pPr>
      <w:r w:rsidRPr="00731BB3">
        <w:rPr>
          <w:rFonts w:ascii="Calibri" w:hAnsi="Calibri" w:cs="Calibri"/>
          <w:b/>
          <w:szCs w:val="21"/>
        </w:rPr>
        <w:t xml:space="preserve">Residual standard error: </w:t>
      </w:r>
      <w:r w:rsidRPr="00731BB3">
        <w:rPr>
          <w:rFonts w:ascii="Calibri" w:hAnsi="Calibri" w:cs="Calibri"/>
          <w:bCs/>
          <w:szCs w:val="21"/>
        </w:rPr>
        <w:t>It gives an indication of the residual dispersion not explained by the model.</w:t>
      </w:r>
    </w:p>
    <w:p w14:paraId="0733449C" w14:textId="7D6E1CBF" w:rsidR="00C50DED" w:rsidRPr="00731BB3" w:rsidRDefault="006A3F94" w:rsidP="00797C11">
      <w:pPr>
        <w:pStyle w:val="ListBullet"/>
        <w:spacing w:after="0"/>
        <w:rPr>
          <w:rFonts w:ascii="Calibri" w:hAnsi="Calibri" w:cs="Calibri"/>
          <w:b/>
          <w:szCs w:val="21"/>
        </w:rPr>
      </w:pPr>
      <w:r w:rsidRPr="00731BB3">
        <w:rPr>
          <w:rFonts w:ascii="Calibri" w:hAnsi="Calibri" w:cs="Calibri"/>
          <w:b/>
          <w:szCs w:val="21"/>
        </w:rPr>
        <w:t xml:space="preserve">Number of observations: </w:t>
      </w:r>
      <w:r w:rsidRPr="00731BB3">
        <w:rPr>
          <w:rFonts w:ascii="Calibri" w:hAnsi="Calibri" w:cs="Calibri"/>
          <w:bCs/>
          <w:szCs w:val="21"/>
        </w:rPr>
        <w:t>If the sample changes, the coefficients also change, and comparisons across models become less straightforward.</w:t>
      </w:r>
    </w:p>
    <w:p w14:paraId="221BBAB3" w14:textId="77777777" w:rsidR="0092265F" w:rsidRPr="00731BB3" w:rsidRDefault="0092265F" w:rsidP="0092265F">
      <w:pPr>
        <w:pStyle w:val="ListBullet"/>
        <w:numPr>
          <w:ilvl w:val="0"/>
          <w:numId w:val="0"/>
        </w:numPr>
        <w:spacing w:after="0"/>
        <w:ind w:left="360" w:hanging="360"/>
        <w:rPr>
          <w:rFonts w:ascii="Calibri" w:hAnsi="Calibri" w:cs="Calibri"/>
          <w:szCs w:val="21"/>
        </w:rPr>
      </w:pPr>
    </w:p>
    <w:p w14:paraId="5ECCC3A2" w14:textId="77777777" w:rsidR="0092265F" w:rsidRPr="00731BB3" w:rsidRDefault="0092265F" w:rsidP="0092265F">
      <w:pPr>
        <w:pStyle w:val="ListBullet"/>
        <w:numPr>
          <w:ilvl w:val="0"/>
          <w:numId w:val="0"/>
        </w:numPr>
        <w:spacing w:after="0"/>
        <w:ind w:left="360" w:hanging="360"/>
        <w:rPr>
          <w:rFonts w:ascii="Calibri" w:hAnsi="Calibri" w:cs="Calibri"/>
          <w:b/>
          <w:szCs w:val="21"/>
        </w:rPr>
      </w:pPr>
    </w:p>
    <w:sectPr w:rsidR="0092265F" w:rsidRPr="00731BB3" w:rsidSect="00034616">
      <w:footerReference w:type="default" r:id="rId8"/>
      <w:pgSz w:w="12240" w:h="15840"/>
      <w:pgMar w:top="1191"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DFB9F7" w14:textId="77777777" w:rsidR="00DF3F45" w:rsidRDefault="00DF3F45">
      <w:pPr>
        <w:spacing w:after="0" w:line="240" w:lineRule="auto"/>
      </w:pPr>
      <w:r>
        <w:separator/>
      </w:r>
    </w:p>
  </w:endnote>
  <w:endnote w:type="continuationSeparator" w:id="0">
    <w:p w14:paraId="3A0C8216" w14:textId="77777777" w:rsidR="00DF3F45" w:rsidRDefault="00DF3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7710C" w14:textId="2F674F8C" w:rsidR="00C50DED" w:rsidRDefault="00C50DE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4BABC" w14:textId="77777777" w:rsidR="00DF3F45" w:rsidRDefault="00DF3F45">
      <w:pPr>
        <w:spacing w:after="0" w:line="240" w:lineRule="auto"/>
      </w:pPr>
      <w:r>
        <w:separator/>
      </w:r>
    </w:p>
  </w:footnote>
  <w:footnote w:type="continuationSeparator" w:id="0">
    <w:p w14:paraId="4F1377FB" w14:textId="77777777" w:rsidR="00DF3F45" w:rsidRDefault="00DF3F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C044A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C2FBC"/>
    <w:multiLevelType w:val="hybridMultilevel"/>
    <w:tmpl w:val="F6F00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33239D"/>
    <w:multiLevelType w:val="hybridMultilevel"/>
    <w:tmpl w:val="F9ACE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6C355D"/>
    <w:multiLevelType w:val="hybridMultilevel"/>
    <w:tmpl w:val="BC5E0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CF5AC4"/>
    <w:multiLevelType w:val="hybridMultilevel"/>
    <w:tmpl w:val="ADF4F75E"/>
    <w:lvl w:ilvl="0" w:tplc="B6E27E9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E703D5"/>
    <w:multiLevelType w:val="hybridMultilevel"/>
    <w:tmpl w:val="82489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0223710">
    <w:abstractNumId w:val="8"/>
  </w:num>
  <w:num w:numId="2" w16cid:durableId="511334938">
    <w:abstractNumId w:val="6"/>
  </w:num>
  <w:num w:numId="3" w16cid:durableId="1084644986">
    <w:abstractNumId w:val="5"/>
  </w:num>
  <w:num w:numId="4" w16cid:durableId="568854619">
    <w:abstractNumId w:val="4"/>
  </w:num>
  <w:num w:numId="5" w16cid:durableId="587619322">
    <w:abstractNumId w:val="7"/>
  </w:num>
  <w:num w:numId="6" w16cid:durableId="1058673469">
    <w:abstractNumId w:val="3"/>
  </w:num>
  <w:num w:numId="7" w16cid:durableId="1777410500">
    <w:abstractNumId w:val="2"/>
  </w:num>
  <w:num w:numId="8" w16cid:durableId="354308593">
    <w:abstractNumId w:val="1"/>
  </w:num>
  <w:num w:numId="9" w16cid:durableId="434323117">
    <w:abstractNumId w:val="0"/>
  </w:num>
  <w:num w:numId="10" w16cid:durableId="143670835">
    <w:abstractNumId w:val="13"/>
  </w:num>
  <w:num w:numId="11" w16cid:durableId="178399717">
    <w:abstractNumId w:val="11"/>
  </w:num>
  <w:num w:numId="12" w16cid:durableId="2073655263">
    <w:abstractNumId w:val="9"/>
  </w:num>
  <w:num w:numId="13" w16cid:durableId="1021248156">
    <w:abstractNumId w:val="12"/>
  </w:num>
  <w:num w:numId="14" w16cid:durableId="127667041">
    <w:abstractNumId w:val="10"/>
  </w:num>
  <w:num w:numId="15" w16cid:durableId="682166789">
    <w:abstractNumId w:val="8"/>
  </w:num>
  <w:num w:numId="16" w16cid:durableId="12615224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6655"/>
    <w:rsid w:val="000D14EB"/>
    <w:rsid w:val="000F1062"/>
    <w:rsid w:val="0015074B"/>
    <w:rsid w:val="00173A52"/>
    <w:rsid w:val="001F2D50"/>
    <w:rsid w:val="00284834"/>
    <w:rsid w:val="0029639D"/>
    <w:rsid w:val="002E170A"/>
    <w:rsid w:val="00326F90"/>
    <w:rsid w:val="003D6D7E"/>
    <w:rsid w:val="004071FC"/>
    <w:rsid w:val="00542C49"/>
    <w:rsid w:val="00544E32"/>
    <w:rsid w:val="00545DD7"/>
    <w:rsid w:val="00581F49"/>
    <w:rsid w:val="005A224E"/>
    <w:rsid w:val="005B0FC8"/>
    <w:rsid w:val="005D0A8A"/>
    <w:rsid w:val="00674D19"/>
    <w:rsid w:val="00674D50"/>
    <w:rsid w:val="006958FC"/>
    <w:rsid w:val="006A3F94"/>
    <w:rsid w:val="006A715C"/>
    <w:rsid w:val="00714885"/>
    <w:rsid w:val="00731BB3"/>
    <w:rsid w:val="007930BA"/>
    <w:rsid w:val="00797C11"/>
    <w:rsid w:val="007D1010"/>
    <w:rsid w:val="00855219"/>
    <w:rsid w:val="008C575C"/>
    <w:rsid w:val="00907E79"/>
    <w:rsid w:val="0092265F"/>
    <w:rsid w:val="009C2011"/>
    <w:rsid w:val="00A33E7A"/>
    <w:rsid w:val="00A77B2C"/>
    <w:rsid w:val="00A872D2"/>
    <w:rsid w:val="00AA1D8D"/>
    <w:rsid w:val="00AA4DF4"/>
    <w:rsid w:val="00B47730"/>
    <w:rsid w:val="00C50DED"/>
    <w:rsid w:val="00CB0664"/>
    <w:rsid w:val="00D307D4"/>
    <w:rsid w:val="00DA2885"/>
    <w:rsid w:val="00DB7A75"/>
    <w:rsid w:val="00DE343A"/>
    <w:rsid w:val="00DE61ED"/>
    <w:rsid w:val="00DF3F45"/>
    <w:rsid w:val="00E62AE0"/>
    <w:rsid w:val="00F033DE"/>
    <w:rsid w:val="00FA0C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087881"/>
  <w14:defaultImageDpi w14:val="300"/>
  <w15:docId w15:val="{21A2B230-14EF-9D49-8AA8-B141C3B63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8682548">
      <w:bodyDiv w:val="1"/>
      <w:marLeft w:val="0"/>
      <w:marRight w:val="0"/>
      <w:marTop w:val="0"/>
      <w:marBottom w:val="0"/>
      <w:divBdr>
        <w:top w:val="none" w:sz="0" w:space="0" w:color="auto"/>
        <w:left w:val="none" w:sz="0" w:space="0" w:color="auto"/>
        <w:bottom w:val="none" w:sz="0" w:space="0" w:color="auto"/>
        <w:right w:val="none" w:sz="0" w:space="0" w:color="auto"/>
      </w:divBdr>
    </w:div>
    <w:div w:id="20153748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8</Pages>
  <Words>2577</Words>
  <Characters>14693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9</cp:revision>
  <cp:lastPrinted>2026-03-14T21:54:00Z</cp:lastPrinted>
  <dcterms:created xsi:type="dcterms:W3CDTF">2026-04-14T00:16:00Z</dcterms:created>
  <dcterms:modified xsi:type="dcterms:W3CDTF">2026-04-21T21:29:00Z</dcterms:modified>
  <cp:category/>
</cp:coreProperties>
</file>