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68DE2" w14:textId="552508F9" w:rsidR="00BB344D" w:rsidRPr="002A4E32" w:rsidRDefault="00000000" w:rsidP="002A4E32">
      <w:pPr>
        <w:pStyle w:val="Title"/>
        <w:spacing w:after="0"/>
        <w:jc w:val="center"/>
        <w:rPr>
          <w:b/>
          <w:bCs/>
          <w:sz w:val="40"/>
          <w:szCs w:val="40"/>
        </w:rPr>
      </w:pPr>
      <w:r w:rsidRPr="002A4E32">
        <w:rPr>
          <w:b/>
          <w:bCs/>
          <w:sz w:val="40"/>
          <w:szCs w:val="40"/>
        </w:rPr>
        <w:t>CES</w:t>
      </w:r>
      <w:r w:rsidR="00A10F48" w:rsidRPr="002A4E32">
        <w:rPr>
          <w:b/>
          <w:bCs/>
          <w:sz w:val="40"/>
          <w:szCs w:val="40"/>
        </w:rPr>
        <w:t xml:space="preserve"> </w:t>
      </w:r>
      <w:r w:rsidRPr="002A4E32">
        <w:rPr>
          <w:b/>
          <w:bCs/>
          <w:sz w:val="40"/>
          <w:szCs w:val="40"/>
        </w:rPr>
        <w:t>Elasticity of Substitution Between Capital and Labour</w:t>
      </w:r>
    </w:p>
    <w:p w14:paraId="446AE31A" w14:textId="3A6E13D3" w:rsidR="00BB344D" w:rsidRPr="00F1682F" w:rsidRDefault="00A10F48" w:rsidP="00F1682F">
      <w:pPr>
        <w:pStyle w:val="Subtitle"/>
        <w:jc w:val="center"/>
      </w:pPr>
      <w:r w:rsidRPr="00733CFC">
        <w:t xml:space="preserve">Project framework, </w:t>
      </w:r>
      <w:r w:rsidR="00CF750B">
        <w:t>variable definitions</w:t>
      </w:r>
      <w:r w:rsidRPr="00733CFC">
        <w:t>, empirical pipeline, caveats, and Python</w:t>
      </w:r>
      <w:r w:rsidR="00961DDB">
        <w:t xml:space="preserve"> </w:t>
      </w:r>
      <w:r w:rsidRPr="00733CFC">
        <w:t>implementation</w:t>
      </w:r>
    </w:p>
    <w:p w14:paraId="293CD370" w14:textId="247C49F9" w:rsidR="00A10F48" w:rsidRDefault="00000000" w:rsidP="009278C4">
      <w:pPr>
        <w:spacing w:after="0" w:line="240" w:lineRule="auto"/>
        <w:rPr>
          <w:rFonts w:ascii="Calibri" w:hAnsi="Calibri" w:cs="Calibri"/>
        </w:rPr>
      </w:pPr>
      <w:r w:rsidRPr="00733CFC">
        <w:rPr>
          <w:rFonts w:ascii="Calibri" w:hAnsi="Calibri" w:cs="Calibri"/>
          <w:b/>
        </w:rPr>
        <w:t xml:space="preserve">Purpose. </w:t>
      </w:r>
      <w:r w:rsidRPr="00733CFC">
        <w:rPr>
          <w:rFonts w:ascii="Calibri" w:hAnsi="Calibri" w:cs="Calibri"/>
        </w:rPr>
        <w:t xml:space="preserve">This document </w:t>
      </w:r>
      <w:r w:rsidR="0088661C">
        <w:rPr>
          <w:rFonts w:ascii="Calibri" w:hAnsi="Calibri" w:cs="Calibri"/>
        </w:rPr>
        <w:t xml:space="preserve">defines </w:t>
      </w:r>
      <w:r w:rsidRPr="00733CFC">
        <w:rPr>
          <w:rFonts w:ascii="Calibri" w:hAnsi="Calibri" w:cs="Calibri"/>
        </w:rPr>
        <w:t>the theoretical equation to be estimated, the exact variables to use from AMECO and the OECD Productivity Database, the rationale for splitting the analysis into a level specification and two growth specifications, the main caveats, and the Python workflow needed to move from raw CSV files to correlations, charts, and regressions.</w:t>
      </w:r>
    </w:p>
    <w:p w14:paraId="06C949B1" w14:textId="77777777" w:rsidR="009278C4" w:rsidRPr="00733CFC" w:rsidRDefault="009278C4" w:rsidP="009278C4">
      <w:pPr>
        <w:spacing w:after="0" w:line="240" w:lineRule="auto"/>
        <w:rPr>
          <w:rFonts w:ascii="Calibri" w:hAnsi="Calibri" w:cs="Calibri"/>
        </w:rPr>
      </w:pPr>
    </w:p>
    <w:p w14:paraId="6C40D239" w14:textId="502EAA01" w:rsidR="00BB344D" w:rsidRPr="00733CFC" w:rsidRDefault="00000000" w:rsidP="00A10F48">
      <w:pPr>
        <w:pStyle w:val="Heading1"/>
        <w:spacing w:before="0" w:line="240" w:lineRule="auto"/>
        <w:rPr>
          <w:rFonts w:ascii="Calibri" w:hAnsi="Calibri" w:cs="Calibri"/>
        </w:rPr>
      </w:pPr>
      <w:r w:rsidRPr="00733CFC">
        <w:rPr>
          <w:rFonts w:ascii="Calibri" w:hAnsi="Calibri" w:cs="Calibri"/>
        </w:rPr>
        <w:t>1. Scope and analytical structure</w:t>
      </w:r>
    </w:p>
    <w:p w14:paraId="0DCDBD63"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The project is organised in three blocks. </w:t>
      </w:r>
      <w:r w:rsidRPr="00733CFC">
        <w:rPr>
          <w:rFonts w:ascii="Calibri" w:hAnsi="Calibri" w:cs="Calibri"/>
        </w:rPr>
        <w:t>First, a cross-country level specification uses AMECO for a single year and focuses on OECD advanced economies. Second, a non-sectoral growth specification uses OECD data for G7 economies. Third, a sectoral growth specification extends the OECD framework to economic activities for the same G7 sample. This split is not arbitrary. It follows directly from the structure of the data: AMECO provides theoretically cleaner labour shares and more comparable capital-stock levels, whereas OECD provides the conceptually correct measure of capital input in dynamic productivity analysis, namely capital services, as well as the sectoral breakdown that is necessary for industry-level work.</w:t>
      </w:r>
    </w:p>
    <w:p w14:paraId="0DF88E8F" w14:textId="731CCE49" w:rsidR="00A10F48" w:rsidRDefault="00000000" w:rsidP="009278C4">
      <w:pPr>
        <w:spacing w:after="0" w:line="240" w:lineRule="auto"/>
        <w:rPr>
          <w:rFonts w:ascii="Calibri" w:hAnsi="Calibri" w:cs="Calibri"/>
        </w:rPr>
      </w:pPr>
      <w:r w:rsidRPr="00733CFC">
        <w:rPr>
          <w:rFonts w:ascii="Calibri" w:hAnsi="Calibri" w:cs="Calibri"/>
          <w:b/>
        </w:rPr>
        <w:t xml:space="preserve">Country coverage. </w:t>
      </w:r>
      <w:r w:rsidRPr="00733CFC">
        <w:rPr>
          <w:rFonts w:ascii="Calibri" w:hAnsi="Calibri" w:cs="Calibri"/>
        </w:rPr>
        <w:t>The cross-country level exercise is designed for advanced OECD economies, where data quality and comparability are sufficiently high. The growth and sectoral exercises are restricted to G7 economies, because the combination of long time series, relatively complete data, and macroeconomic comparability is strongest there.</w:t>
      </w:r>
    </w:p>
    <w:p w14:paraId="54A7E190" w14:textId="77777777" w:rsidR="009278C4" w:rsidRPr="00733CFC" w:rsidRDefault="009278C4" w:rsidP="009278C4">
      <w:pPr>
        <w:spacing w:after="0" w:line="240" w:lineRule="auto"/>
        <w:rPr>
          <w:rFonts w:ascii="Calibri" w:hAnsi="Calibri" w:cs="Calibri"/>
        </w:rPr>
      </w:pPr>
    </w:p>
    <w:p w14:paraId="471CBB04" w14:textId="1D8838D2" w:rsidR="00BB344D" w:rsidRPr="00733CFC" w:rsidRDefault="00000000" w:rsidP="00A10F48">
      <w:pPr>
        <w:pStyle w:val="Heading1"/>
        <w:spacing w:before="0" w:line="240" w:lineRule="auto"/>
        <w:rPr>
          <w:rFonts w:ascii="Calibri" w:hAnsi="Calibri" w:cs="Calibri"/>
        </w:rPr>
      </w:pPr>
      <w:r w:rsidRPr="00733CFC">
        <w:rPr>
          <w:rFonts w:ascii="Calibri" w:hAnsi="Calibri" w:cs="Calibri"/>
        </w:rPr>
        <w:t>2. Theoretical equation and estimable form</w:t>
      </w:r>
    </w:p>
    <w:p w14:paraId="3FCEDE46" w14:textId="5C549D8C" w:rsidR="00A10F48" w:rsidRPr="00733CFC" w:rsidRDefault="00A10F48" w:rsidP="00A10F48">
      <w:pPr>
        <w:spacing w:after="0"/>
        <w:rPr>
          <w:rFonts w:ascii="Calibri" w:hAnsi="Calibri" w:cs="Calibri"/>
        </w:rPr>
      </w:pPr>
      <w:r w:rsidRPr="00733CFC">
        <w:rPr>
          <w:rFonts w:ascii="Calibri" w:hAnsi="Calibri" w:cs="Calibri"/>
          <w:b/>
          <w:bCs/>
        </w:rPr>
        <w:t>Theoretical framework.</w:t>
      </w:r>
      <w:r w:rsidRPr="00733CFC">
        <w:rPr>
          <w:rFonts w:ascii="Calibri" w:hAnsi="Calibri" w:cs="Calibri"/>
        </w:rPr>
        <w:t xml:space="preserve"> The Hicks elasticity of substitution measures how the capital-labour ratio responds to changes in relative factor prices.</w:t>
      </w:r>
    </w:p>
    <w:p w14:paraId="7E32043C" w14:textId="77777777" w:rsidR="00A10F48" w:rsidRPr="00733CFC" w:rsidRDefault="00A10F48" w:rsidP="00A10F48">
      <w:pPr>
        <w:spacing w:after="0"/>
        <w:rPr>
          <w:rFonts w:ascii="Calibri" w:hAnsi="Calibri" w:cs="Calibri"/>
        </w:rPr>
      </w:pPr>
      <w:r w:rsidRPr="00733CFC">
        <w:rPr>
          <w:rFonts w:ascii="Calibri" w:hAnsi="Calibri" w:cs="Calibri"/>
        </w:rPr>
        <w:t>σ = d ln(K/L) / d ln(w/r)</w:t>
      </w:r>
    </w:p>
    <w:p w14:paraId="4D292DCD" w14:textId="7D9F8B69" w:rsidR="00A10F48" w:rsidRPr="00733CFC" w:rsidRDefault="00A10F48" w:rsidP="00A10F48">
      <w:pPr>
        <w:spacing w:after="0"/>
        <w:rPr>
          <w:rFonts w:ascii="Calibri" w:hAnsi="Calibri" w:cs="Calibri"/>
        </w:rPr>
      </w:pPr>
      <w:r w:rsidRPr="00733CFC">
        <w:rPr>
          <w:rFonts w:ascii="Calibri" w:hAnsi="Calibri" w:cs="Calibri"/>
        </w:rPr>
        <w:t>Under cost minimisation: MRTS = w/r, linking micro theory to empirical estimation.</w:t>
      </w:r>
    </w:p>
    <w:p w14:paraId="343F7660"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Starting point. </w:t>
      </w:r>
      <w:r w:rsidRPr="00733CFC">
        <w:rPr>
          <w:rFonts w:ascii="Calibri" w:hAnsi="Calibri" w:cs="Calibri"/>
        </w:rPr>
        <w:t>Let output be produced by a CES production function in capital K and labour H, where labour is measured in hours worked:</w:t>
      </w:r>
    </w:p>
    <w:p w14:paraId="01AD0643" w14:textId="77777777" w:rsidR="00BB344D" w:rsidRPr="00733CFC" w:rsidRDefault="00000000" w:rsidP="00A10F48">
      <w:pPr>
        <w:spacing w:after="0" w:line="240" w:lineRule="auto"/>
        <w:rPr>
          <w:rFonts w:ascii="Calibri" w:hAnsi="Calibri" w:cs="Calibri"/>
        </w:rPr>
      </w:pPr>
      <w:r w:rsidRPr="00733CFC">
        <w:rPr>
          <w:rFonts w:ascii="Calibri" w:hAnsi="Calibri" w:cs="Calibri"/>
        </w:rPr>
        <w:t>Y = A [ α K^ρ + (1−α) H^ρ ]^(1/ρ)</w:t>
      </w:r>
    </w:p>
    <w:p w14:paraId="65D5F375" w14:textId="77777777" w:rsidR="00BB344D" w:rsidRPr="00733CFC" w:rsidRDefault="00000000" w:rsidP="00A10F48">
      <w:pPr>
        <w:spacing w:after="0" w:line="240" w:lineRule="auto"/>
        <w:rPr>
          <w:rFonts w:ascii="Calibri" w:hAnsi="Calibri" w:cs="Calibri"/>
        </w:rPr>
      </w:pPr>
      <w:r w:rsidRPr="00733CFC">
        <w:rPr>
          <w:rFonts w:ascii="Calibri" w:hAnsi="Calibri" w:cs="Calibri"/>
        </w:rPr>
        <w:t>σ = 1 / (1 − ρ)</w:t>
      </w:r>
    </w:p>
    <w:p w14:paraId="5BE9B568"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Under competitive markets, </w:t>
      </w:r>
      <w:r w:rsidRPr="00733CFC">
        <w:rPr>
          <w:rFonts w:ascii="Calibri" w:hAnsi="Calibri" w:cs="Calibri"/>
        </w:rPr>
        <w:t>the ratio of factor income shares can be written as a function of capital intensity. Using labour and capital income shares rather than the unobserved rental rate and wage directly gives the estimable equation:</w:t>
      </w:r>
    </w:p>
    <w:p w14:paraId="2FE148D3" w14:textId="77777777" w:rsidR="00BB344D" w:rsidRPr="00733CFC" w:rsidRDefault="00000000" w:rsidP="00A10F48">
      <w:pPr>
        <w:spacing w:after="0" w:line="240" w:lineRule="auto"/>
        <w:rPr>
          <w:rFonts w:ascii="Calibri" w:hAnsi="Calibri" w:cs="Calibri"/>
        </w:rPr>
      </w:pPr>
      <w:r w:rsidRPr="00733CFC">
        <w:rPr>
          <w:rFonts w:ascii="Calibri" w:hAnsi="Calibri" w:cs="Calibri"/>
        </w:rPr>
        <w:t>ln(sL / sK) = constant + (1/σ − 1) ln(K/H)</w:t>
      </w:r>
    </w:p>
    <w:p w14:paraId="70B38BA9"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Notation used in the project. </w:t>
      </w:r>
      <w:r w:rsidRPr="00733CFC">
        <w:rPr>
          <w:rFonts w:ascii="Calibri" w:hAnsi="Calibri" w:cs="Calibri"/>
        </w:rPr>
        <w:t>For all regressions, the dependent variable is defined as the log ratio of factor shares:</w:t>
      </w:r>
    </w:p>
    <w:p w14:paraId="3301B766" w14:textId="77777777" w:rsidR="00BB344D" w:rsidRPr="00733CFC" w:rsidRDefault="00000000" w:rsidP="00A10F48">
      <w:pPr>
        <w:spacing w:after="0" w:line="240" w:lineRule="auto"/>
        <w:rPr>
          <w:rFonts w:ascii="Calibri" w:hAnsi="Calibri" w:cs="Calibri"/>
        </w:rPr>
      </w:pPr>
      <w:r w:rsidRPr="00733CFC">
        <w:rPr>
          <w:rFonts w:ascii="Calibri" w:hAnsi="Calibri" w:cs="Calibri"/>
        </w:rPr>
        <w:t>y = ln(sL / sK) = ln(sL / (1 − sL))</w:t>
      </w:r>
    </w:p>
    <w:p w14:paraId="63E59833" w14:textId="77777777" w:rsidR="00BB344D" w:rsidRPr="00733CFC" w:rsidRDefault="00000000" w:rsidP="00A10F48">
      <w:pPr>
        <w:spacing w:after="0" w:line="240" w:lineRule="auto"/>
        <w:rPr>
          <w:rFonts w:ascii="Calibri" w:hAnsi="Calibri" w:cs="Calibri"/>
        </w:rPr>
      </w:pPr>
      <w:r w:rsidRPr="00733CFC">
        <w:rPr>
          <w:rFonts w:ascii="Calibri" w:hAnsi="Calibri" w:cs="Calibri"/>
        </w:rPr>
        <w:t>x = ln(K/H)</w:t>
      </w:r>
    </w:p>
    <w:p w14:paraId="7A0CB5B0"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Estimated slope and elasticity. </w:t>
      </w:r>
      <w:r w:rsidRPr="00733CFC">
        <w:rPr>
          <w:rFonts w:ascii="Calibri" w:hAnsi="Calibri" w:cs="Calibri"/>
        </w:rPr>
        <w:t>If the regression slope is β1, then:</w:t>
      </w:r>
    </w:p>
    <w:p w14:paraId="54A326FC" w14:textId="77777777" w:rsidR="00BB344D" w:rsidRPr="00733CFC" w:rsidRDefault="00000000" w:rsidP="00A10F48">
      <w:pPr>
        <w:spacing w:after="0" w:line="240" w:lineRule="auto"/>
        <w:rPr>
          <w:rFonts w:ascii="Calibri" w:hAnsi="Calibri" w:cs="Calibri"/>
        </w:rPr>
      </w:pPr>
      <w:r w:rsidRPr="00733CFC">
        <w:rPr>
          <w:rFonts w:ascii="Calibri" w:hAnsi="Calibri" w:cs="Calibri"/>
        </w:rPr>
        <w:t>β1 = 1/σ − 1</w:t>
      </w:r>
    </w:p>
    <w:p w14:paraId="121B69BE" w14:textId="77777777" w:rsidR="00BB344D" w:rsidRPr="00733CFC" w:rsidRDefault="00000000" w:rsidP="00A10F48">
      <w:pPr>
        <w:spacing w:after="0" w:line="240" w:lineRule="auto"/>
        <w:rPr>
          <w:rFonts w:ascii="Calibri" w:hAnsi="Calibri" w:cs="Calibri"/>
        </w:rPr>
      </w:pPr>
      <w:r w:rsidRPr="00733CFC">
        <w:rPr>
          <w:rFonts w:ascii="Calibri" w:hAnsi="Calibri" w:cs="Calibri"/>
        </w:rPr>
        <w:t>σ = 1 / (β1 + 1)</w:t>
      </w:r>
    </w:p>
    <w:p w14:paraId="40B4497B"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Interpretation. </w:t>
      </w:r>
      <w:r w:rsidRPr="00733CFC">
        <w:rPr>
          <w:rFonts w:ascii="Calibri" w:hAnsi="Calibri" w:cs="Calibri"/>
        </w:rPr>
        <w:t>A coefficient β1 above zero implies σ below infinity and determines whether capital intensity is associated with a higher or lower labour share. When σ &gt; 1, capital and labour are relatively substitutable. When σ = 1, the Cobb–Douglas benchmark applies. When σ &lt; 1, the two inputs are more complementary.</w:t>
      </w:r>
    </w:p>
    <w:p w14:paraId="72134604" w14:textId="47852754" w:rsidR="00A10F48" w:rsidRDefault="00A10F48" w:rsidP="009278C4">
      <w:pPr>
        <w:spacing w:after="0" w:line="240" w:lineRule="auto"/>
        <w:rPr>
          <w:rFonts w:ascii="Calibri" w:hAnsi="Calibri" w:cs="Calibri"/>
        </w:rPr>
      </w:pPr>
      <w:r w:rsidRPr="00733CFC">
        <w:rPr>
          <w:rFonts w:ascii="Calibri" w:hAnsi="Calibri" w:cs="Calibri"/>
          <w:b/>
          <w:bCs/>
        </w:rPr>
        <w:t>Key cases.</w:t>
      </w:r>
      <w:r w:rsidRPr="00733CFC">
        <w:rPr>
          <w:rFonts w:ascii="Calibri" w:hAnsi="Calibri" w:cs="Calibri"/>
        </w:rPr>
        <w:t xml:space="preserve"> σ=1 Cobb-Douglas, σ&lt;1 complements, σ&gt;1 substitutes</w:t>
      </w:r>
    </w:p>
    <w:p w14:paraId="4B512112" w14:textId="77777777" w:rsidR="009278C4" w:rsidRPr="00733CFC" w:rsidRDefault="009278C4" w:rsidP="009278C4">
      <w:pPr>
        <w:spacing w:after="0" w:line="240" w:lineRule="auto"/>
        <w:rPr>
          <w:rFonts w:ascii="Calibri" w:hAnsi="Calibri" w:cs="Calibri"/>
        </w:rPr>
      </w:pPr>
    </w:p>
    <w:p w14:paraId="5F73DB02" w14:textId="11ADC03D" w:rsidR="00BB344D" w:rsidRPr="00733CFC" w:rsidRDefault="00000000" w:rsidP="00A10F48">
      <w:pPr>
        <w:pStyle w:val="Heading1"/>
        <w:spacing w:before="0" w:line="240" w:lineRule="auto"/>
        <w:rPr>
          <w:rFonts w:ascii="Calibri" w:hAnsi="Calibri" w:cs="Calibri"/>
        </w:rPr>
      </w:pPr>
      <w:r w:rsidRPr="00733CFC">
        <w:rPr>
          <w:rFonts w:ascii="Calibri" w:hAnsi="Calibri" w:cs="Calibri"/>
        </w:rPr>
        <w:lastRenderedPageBreak/>
        <w:t>3. Measurement framework and variable</w:t>
      </w:r>
      <w:r w:rsidR="00CF750B">
        <w:rPr>
          <w:rFonts w:ascii="Calibri" w:hAnsi="Calibri" w:cs="Calibri"/>
        </w:rPr>
        <w:t xml:space="preserve"> </w:t>
      </w:r>
      <w:r w:rsidRPr="00733CFC">
        <w:rPr>
          <w:rFonts w:ascii="Calibri" w:hAnsi="Calibri" w:cs="Calibri"/>
        </w:rPr>
        <w:t>definitions</w:t>
      </w:r>
    </w:p>
    <w:p w14:paraId="2D4646A0" w14:textId="77777777" w:rsidR="009278C4" w:rsidRDefault="009278C4" w:rsidP="009278C4">
      <w:pPr>
        <w:pStyle w:val="Heading2"/>
        <w:spacing w:before="0" w:line="240" w:lineRule="auto"/>
        <w:rPr>
          <w:rFonts w:ascii="Calibri" w:hAnsi="Calibri" w:cs="Calibri"/>
        </w:rPr>
      </w:pPr>
    </w:p>
    <w:p w14:paraId="7AA5C812" w14:textId="66322870" w:rsidR="00BB344D" w:rsidRPr="00733CFC" w:rsidRDefault="00000000" w:rsidP="009278C4">
      <w:pPr>
        <w:pStyle w:val="Heading2"/>
        <w:spacing w:before="0" w:line="240" w:lineRule="auto"/>
        <w:rPr>
          <w:rFonts w:ascii="Calibri" w:hAnsi="Calibri" w:cs="Calibri"/>
        </w:rPr>
      </w:pPr>
      <w:r w:rsidRPr="00733CFC">
        <w:rPr>
          <w:rFonts w:ascii="Calibri" w:hAnsi="Calibri" w:cs="Calibri"/>
        </w:rPr>
        <w:t>3.1 Output: GDP at market prices, GDP at factor cost, and GVA at basic prices</w:t>
      </w:r>
    </w:p>
    <w:p w14:paraId="44F94D67"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GDP at market prices (GDPmp). </w:t>
      </w:r>
      <w:r w:rsidRPr="00733CFC">
        <w:rPr>
          <w:rFonts w:ascii="Calibri" w:hAnsi="Calibri" w:cs="Calibri"/>
        </w:rPr>
        <w:t>This is the broadest nominal output concept. It includes factor incomes and both types of tax wedges: taxes on products (for example VAT and excise duties) and taxes on production.</w:t>
      </w:r>
    </w:p>
    <w:p w14:paraId="2B1B53CB"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GDP at factor cost (GDPfc). </w:t>
      </w:r>
      <w:r w:rsidRPr="00733CFC">
        <w:rPr>
          <w:rFonts w:ascii="Calibri" w:hAnsi="Calibri" w:cs="Calibri"/>
        </w:rPr>
        <w:t>This removes the net product-tax wedge and the net production-tax wedge. In functional-distribution terms, GDP at factor cost is the cleanest output concept for a production-function exercise because it corresponds to factor remuneration only:</w:t>
      </w:r>
    </w:p>
    <w:p w14:paraId="526A5163" w14:textId="77777777" w:rsidR="00BB344D" w:rsidRPr="00733CFC" w:rsidRDefault="00000000" w:rsidP="00A10F48">
      <w:pPr>
        <w:spacing w:after="0" w:line="240" w:lineRule="auto"/>
        <w:rPr>
          <w:rFonts w:ascii="Calibri" w:hAnsi="Calibri" w:cs="Calibri"/>
        </w:rPr>
      </w:pPr>
      <w:r w:rsidRPr="00733CFC">
        <w:rPr>
          <w:rFonts w:ascii="Calibri" w:hAnsi="Calibri" w:cs="Calibri"/>
        </w:rPr>
        <w:t>GDPfc = COE + GOS + Mixed Income</w:t>
      </w:r>
    </w:p>
    <w:p w14:paraId="53C1171C"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GVA at basic prices (GVAbp). </w:t>
      </w:r>
      <w:r w:rsidRPr="00733CFC">
        <w:rPr>
          <w:rFonts w:ascii="Calibri" w:hAnsi="Calibri" w:cs="Calibri"/>
        </w:rPr>
        <w:t>This is the OECD production-side output measure and equals output minus intermediate consumption. It excludes taxes on products but still includes net taxes on production. Therefore GVAbp is closer to GDPfc than to GDPmp, but it is not identical to factor cost.</w:t>
      </w:r>
    </w:p>
    <w:p w14:paraId="31A06656"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Why this matters. </w:t>
      </w:r>
      <w:r w:rsidRPr="00733CFC">
        <w:rPr>
          <w:rFonts w:ascii="Calibri" w:hAnsi="Calibri" w:cs="Calibri"/>
        </w:rPr>
        <w:t>For CES estimation, GDPfc is theoretically preferable because it aligns with factor income. However, the OECD Productivity Database is built around GVA at basic prices, which is the standard output measure in productivity analysis. This is acceptable in the growth specifications, but it must be stated explicitly.</w:t>
      </w:r>
    </w:p>
    <w:p w14:paraId="7182D0EC" w14:textId="77777777" w:rsidR="00BB344D" w:rsidRPr="00733CFC" w:rsidRDefault="00000000" w:rsidP="00A10F48">
      <w:pPr>
        <w:pStyle w:val="Heading2"/>
        <w:spacing w:line="240" w:lineRule="auto"/>
        <w:rPr>
          <w:rFonts w:ascii="Calibri" w:hAnsi="Calibri" w:cs="Calibri"/>
        </w:rPr>
      </w:pPr>
      <w:r w:rsidRPr="00733CFC">
        <w:rPr>
          <w:rFonts w:ascii="Calibri" w:hAnsi="Calibri" w:cs="Calibri"/>
        </w:rPr>
        <w:t>3.2 Labour share: AMECO vs OECD</w:t>
      </w:r>
    </w:p>
    <w:p w14:paraId="4295EC37"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AMECO labour share (ALCD2). </w:t>
      </w:r>
      <w:r w:rsidRPr="00733CFC">
        <w:rPr>
          <w:rFonts w:ascii="Calibri" w:hAnsi="Calibri" w:cs="Calibri"/>
        </w:rPr>
        <w:t>The preferred labour-share measure for the level specification is AMECO ALCD2, the adjusted wage share as a percentage of GDP at current factor cost. Its numerator is compensation of employees adjusted for self-employed labour income. The adjustment uses the standard assumption that self-employed workers receive the same average labour income as employees. In compact notation:</w:t>
      </w:r>
    </w:p>
    <w:p w14:paraId="0C93C4D6" w14:textId="77777777" w:rsidR="00BB344D" w:rsidRPr="00733CFC" w:rsidRDefault="00000000" w:rsidP="00A10F48">
      <w:pPr>
        <w:spacing w:after="0" w:line="240" w:lineRule="auto"/>
        <w:rPr>
          <w:rFonts w:ascii="Calibri" w:hAnsi="Calibri" w:cs="Calibri"/>
        </w:rPr>
      </w:pPr>
      <w:r w:rsidRPr="00733CFC">
        <w:rPr>
          <w:rFonts w:ascii="Calibri" w:hAnsi="Calibri" w:cs="Calibri"/>
        </w:rPr>
        <w:t>COEadj = COE × (L / E)</w:t>
      </w:r>
    </w:p>
    <w:p w14:paraId="1BF30AD4" w14:textId="77777777" w:rsidR="00BB344D" w:rsidRPr="00733CFC" w:rsidRDefault="00000000" w:rsidP="00A10F48">
      <w:pPr>
        <w:spacing w:after="0" w:line="240" w:lineRule="auto"/>
        <w:rPr>
          <w:rFonts w:ascii="Calibri" w:hAnsi="Calibri" w:cs="Calibri"/>
        </w:rPr>
      </w:pPr>
      <w:r w:rsidRPr="00733CFC">
        <w:rPr>
          <w:rFonts w:ascii="Calibri" w:hAnsi="Calibri" w:cs="Calibri"/>
        </w:rPr>
        <w:t>sL = COEadj / GDPfc</w:t>
      </w:r>
    </w:p>
    <w:p w14:paraId="55F32C9F"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Why ALCD2 is preferred. </w:t>
      </w:r>
      <w:r w:rsidRPr="00733CFC">
        <w:rPr>
          <w:rFonts w:ascii="Calibri" w:hAnsi="Calibri" w:cs="Calibri"/>
        </w:rPr>
        <w:t>It is adjusted for self-employment and uses GDP at factor cost in the denominator. For a CES framework, this is the cleanest share measure available in the data sources used.</w:t>
      </w:r>
    </w:p>
    <w:p w14:paraId="6D03C625"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AMECO ALCD0. </w:t>
      </w:r>
      <w:r w:rsidRPr="00733CFC">
        <w:rPr>
          <w:rFonts w:ascii="Calibri" w:hAnsi="Calibri" w:cs="Calibri"/>
        </w:rPr>
        <w:t>ALCD0 is the adjusted wage share expressed as a percentage of GDP at current market prices. It is useful for comparison, but not as the main CES share, because the denominator includes tax wedges unrelated to factor remuneration.</w:t>
      </w:r>
    </w:p>
    <w:p w14:paraId="44D57958"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OECD labour share. </w:t>
      </w:r>
      <w:r w:rsidRPr="00733CFC">
        <w:rPr>
          <w:rFonts w:ascii="Calibri" w:hAnsi="Calibri" w:cs="Calibri"/>
        </w:rPr>
        <w:t>At total-economy or sector level in OECD data, labour share must be constructed. The natural construction is:</w:t>
      </w:r>
    </w:p>
    <w:p w14:paraId="4C9D0134" w14:textId="77777777" w:rsidR="00BB344D" w:rsidRPr="00733CFC" w:rsidRDefault="00000000" w:rsidP="00A10F48">
      <w:pPr>
        <w:spacing w:after="0" w:line="240" w:lineRule="auto"/>
        <w:rPr>
          <w:rFonts w:ascii="Calibri" w:hAnsi="Calibri" w:cs="Calibri"/>
        </w:rPr>
      </w:pPr>
      <w:r w:rsidRPr="00733CFC">
        <w:rPr>
          <w:rFonts w:ascii="Calibri" w:hAnsi="Calibri" w:cs="Calibri"/>
        </w:rPr>
        <w:t>sL = LC / GVA</w:t>
      </w:r>
    </w:p>
    <w:p w14:paraId="3E4418BC"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Meaning of LC. </w:t>
      </w:r>
      <w:r w:rsidRPr="00733CFC">
        <w:rPr>
          <w:rFonts w:ascii="Calibri" w:hAnsi="Calibri" w:cs="Calibri"/>
        </w:rPr>
        <w:t>Labour compensation includes wages and salaries plus employers’ social contributions. In the OECD productivity framework, self-employed labour income is not directly observed and is approximated under the assumption that self-employed persons receive the same average remuneration as employees. In other words, the OECD framework uses the same basic logic of self-employed imputation, though the exact series are embedded within the productivity methodology.</w:t>
      </w:r>
    </w:p>
    <w:p w14:paraId="5575ACE7"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Main difference relative to AMECO. </w:t>
      </w:r>
      <w:r w:rsidRPr="00733CFC">
        <w:rPr>
          <w:rFonts w:ascii="Calibri" w:hAnsi="Calibri" w:cs="Calibri"/>
        </w:rPr>
        <w:t>AMECO level shares are defined over GDP at factor cost. OECD growth and sectoral shares are constructed over GVA at basic prices. Therefore the OECD share is not identical to ALCD2, although in practice the two may be close.</w:t>
      </w:r>
    </w:p>
    <w:p w14:paraId="1E76F422" w14:textId="77777777" w:rsidR="00BB344D" w:rsidRPr="00733CFC" w:rsidRDefault="00000000" w:rsidP="00A10F48">
      <w:pPr>
        <w:pStyle w:val="Heading2"/>
        <w:spacing w:line="240" w:lineRule="auto"/>
        <w:rPr>
          <w:rFonts w:ascii="Calibri" w:hAnsi="Calibri" w:cs="Calibri"/>
        </w:rPr>
      </w:pPr>
      <w:r w:rsidRPr="00733CFC">
        <w:rPr>
          <w:rFonts w:ascii="Calibri" w:hAnsi="Calibri" w:cs="Calibri"/>
        </w:rPr>
        <w:t>3.3 Capital: stock, services, and capital deepening</w:t>
      </w:r>
    </w:p>
    <w:p w14:paraId="54808A80"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AMECO capital stock (OKND). </w:t>
      </w:r>
      <w:r w:rsidRPr="00733CFC">
        <w:rPr>
          <w:rFonts w:ascii="Calibri" w:hAnsi="Calibri" w:cs="Calibri"/>
        </w:rPr>
        <w:t>OKND is net capital stock. It is a stock concept, not a flow concept. It is appropriate as a practical proxy for capital in the cross-country level specification because it is available in a common European monetary unit and is more manageable cross-country than OECD capital-service levels expressed in national currency.</w:t>
      </w:r>
    </w:p>
    <w:p w14:paraId="624E3BA5"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OECD capital services (KSER). </w:t>
      </w:r>
      <w:r w:rsidRPr="00733CFC">
        <w:rPr>
          <w:rFonts w:ascii="Calibri" w:hAnsi="Calibri" w:cs="Calibri"/>
        </w:rPr>
        <w:t>Capital services are the flow of productive services generated by capital assets. This is the conceptually correct capital input in productivity and growth-accounting analysis. OECD provides capital-services growth and, in some versions of the database, capital-services levels, but cross-country comparability of levels is weakened because the level series are expressed in national currency.</w:t>
      </w:r>
    </w:p>
    <w:p w14:paraId="6E531F67" w14:textId="77777777" w:rsidR="00BB344D" w:rsidRPr="00733CFC" w:rsidRDefault="00000000" w:rsidP="00A10F48">
      <w:pPr>
        <w:spacing w:after="0" w:line="240" w:lineRule="auto"/>
        <w:rPr>
          <w:rFonts w:ascii="Calibri" w:hAnsi="Calibri" w:cs="Calibri"/>
        </w:rPr>
      </w:pPr>
      <w:r w:rsidRPr="00733CFC">
        <w:rPr>
          <w:rFonts w:ascii="Calibri" w:hAnsi="Calibri" w:cs="Calibri"/>
          <w:b/>
        </w:rPr>
        <w:lastRenderedPageBreak/>
        <w:t xml:space="preserve">OECD capital deepening (KSERHRS). </w:t>
      </w:r>
      <w:r w:rsidRPr="00733CFC">
        <w:rPr>
          <w:rFonts w:ascii="Calibri" w:hAnsi="Calibri" w:cs="Calibri"/>
        </w:rPr>
        <w:t>Capital deepening is defined as capital services per hour worked. In the project it is used in growth form. It is not capital stock per hour. This distinction matters because a CES production function conceptually uses productive capital input, not a balance-sheet measure of capital.</w:t>
      </w:r>
    </w:p>
    <w:p w14:paraId="05E892EE" w14:textId="77777777" w:rsidR="00BB344D" w:rsidRPr="00733CFC" w:rsidRDefault="00000000" w:rsidP="00A10F48">
      <w:pPr>
        <w:pStyle w:val="Heading2"/>
        <w:spacing w:line="240" w:lineRule="auto"/>
        <w:rPr>
          <w:rFonts w:ascii="Calibri" w:hAnsi="Calibri" w:cs="Calibri"/>
        </w:rPr>
      </w:pPr>
      <w:r w:rsidRPr="00733CFC">
        <w:rPr>
          <w:rFonts w:ascii="Calibri" w:hAnsi="Calibri" w:cs="Calibri"/>
        </w:rPr>
        <w:t>3.4 Labour input</w:t>
      </w:r>
    </w:p>
    <w:p w14:paraId="46596623"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Hours worked. </w:t>
      </w:r>
      <w:r w:rsidRPr="00733CFC">
        <w:rPr>
          <w:rFonts w:ascii="Calibri" w:hAnsi="Calibri" w:cs="Calibri"/>
        </w:rPr>
        <w:t>Both AMECO and OECD provide hours-worked variables as level series, not as pre-computed growth rates:</w:t>
      </w:r>
    </w:p>
    <w:p w14:paraId="6EB036F6" w14:textId="77777777" w:rsidR="00BB344D" w:rsidRPr="00733CFC" w:rsidRDefault="00000000" w:rsidP="00A10F48">
      <w:pPr>
        <w:spacing w:after="0" w:line="240" w:lineRule="auto"/>
        <w:rPr>
          <w:rFonts w:ascii="Calibri" w:hAnsi="Calibri" w:cs="Calibri"/>
        </w:rPr>
      </w:pPr>
      <w:r w:rsidRPr="00733CFC">
        <w:rPr>
          <w:rFonts w:ascii="Calibri" w:hAnsi="Calibri" w:cs="Calibri"/>
        </w:rPr>
        <w:t>AMECO: NLHT = total hours worked</w:t>
      </w:r>
    </w:p>
    <w:p w14:paraId="79396AEF" w14:textId="77777777" w:rsidR="00BB344D" w:rsidRPr="00733CFC" w:rsidRDefault="00000000" w:rsidP="00A10F48">
      <w:pPr>
        <w:spacing w:after="0" w:line="240" w:lineRule="auto"/>
        <w:rPr>
          <w:rFonts w:ascii="Calibri" w:hAnsi="Calibri" w:cs="Calibri"/>
        </w:rPr>
      </w:pPr>
      <w:r w:rsidRPr="00733CFC">
        <w:rPr>
          <w:rFonts w:ascii="Calibri" w:hAnsi="Calibri" w:cs="Calibri"/>
        </w:rPr>
        <w:t>OECD: HRSTO = hours worked for total employment</w:t>
      </w:r>
    </w:p>
    <w:p w14:paraId="2AC83E7F"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Operational implication. </w:t>
      </w:r>
      <w:r w:rsidRPr="00733CFC">
        <w:rPr>
          <w:rFonts w:ascii="Calibri" w:hAnsi="Calibri" w:cs="Calibri"/>
        </w:rPr>
        <w:t>All growth rates of hours worked must therefore be computed in Python as first differences of logarithms:</w:t>
      </w:r>
    </w:p>
    <w:p w14:paraId="5F1268B9" w14:textId="77777777" w:rsidR="00BB344D" w:rsidRPr="00733CFC" w:rsidRDefault="00000000" w:rsidP="00A10F48">
      <w:pPr>
        <w:spacing w:after="0" w:line="240" w:lineRule="auto"/>
        <w:rPr>
          <w:rFonts w:ascii="Calibri" w:hAnsi="Calibri" w:cs="Calibri"/>
        </w:rPr>
      </w:pPr>
      <w:r w:rsidRPr="00733CFC">
        <w:rPr>
          <w:rFonts w:ascii="Calibri" w:hAnsi="Calibri" w:cs="Calibri"/>
        </w:rPr>
        <w:t>gH = Δ ln(H)</w:t>
      </w:r>
    </w:p>
    <w:p w14:paraId="5563BB81" w14:textId="77777777" w:rsidR="00A10F48" w:rsidRPr="00733CFC" w:rsidRDefault="00A10F48" w:rsidP="00A10F48">
      <w:pPr>
        <w:spacing w:after="0" w:line="240" w:lineRule="auto"/>
        <w:rPr>
          <w:rFonts w:ascii="Calibri" w:hAnsi="Calibri" w:cs="Calibri"/>
        </w:rPr>
      </w:pPr>
    </w:p>
    <w:p w14:paraId="60487232" w14:textId="77777777" w:rsidR="00BB344D" w:rsidRPr="00733CFC" w:rsidRDefault="00000000" w:rsidP="00A10F48">
      <w:pPr>
        <w:pStyle w:val="Heading2"/>
        <w:spacing w:line="240" w:lineRule="auto"/>
        <w:rPr>
          <w:rFonts w:ascii="Calibri" w:hAnsi="Calibri" w:cs="Calibri"/>
        </w:rPr>
      </w:pPr>
      <w:r w:rsidRPr="00733CFC">
        <w:rPr>
          <w:rFonts w:ascii="Calibri" w:hAnsi="Calibri" w:cs="Calibri"/>
        </w:rPr>
        <w:t>3.5 Summary of core variables</w:t>
      </w:r>
    </w:p>
    <w:tbl>
      <w:tblPr>
        <w:tblStyle w:val="TableGrid"/>
        <w:tblW w:w="0" w:type="auto"/>
        <w:jc w:val="center"/>
        <w:tblLook w:val="04A0" w:firstRow="1" w:lastRow="0" w:firstColumn="1" w:lastColumn="0" w:noHBand="0" w:noVBand="1"/>
      </w:tblPr>
      <w:tblGrid>
        <w:gridCol w:w="1938"/>
        <w:gridCol w:w="1938"/>
        <w:gridCol w:w="1938"/>
        <w:gridCol w:w="1938"/>
        <w:gridCol w:w="1938"/>
      </w:tblGrid>
      <w:tr w:rsidR="00BB344D" w:rsidRPr="00733CFC" w14:paraId="4A259C25" w14:textId="77777777">
        <w:trPr>
          <w:tblHeader/>
          <w:jc w:val="center"/>
        </w:trPr>
        <w:tc>
          <w:tcPr>
            <w:tcW w:w="1938" w:type="dxa"/>
            <w:shd w:val="clear" w:color="auto" w:fill="D9EAF7"/>
          </w:tcPr>
          <w:p w14:paraId="5651E512" w14:textId="77777777" w:rsidR="00BB344D" w:rsidRPr="00733CFC" w:rsidRDefault="00000000" w:rsidP="00A10F48">
            <w:pPr>
              <w:rPr>
                <w:rFonts w:ascii="Calibri" w:hAnsi="Calibri" w:cs="Calibri"/>
              </w:rPr>
            </w:pPr>
            <w:r w:rsidRPr="00733CFC">
              <w:rPr>
                <w:rFonts w:ascii="Calibri" w:hAnsi="Calibri" w:cs="Calibri"/>
                <w:b/>
              </w:rPr>
              <w:t>Variable</w:t>
            </w:r>
          </w:p>
        </w:tc>
        <w:tc>
          <w:tcPr>
            <w:tcW w:w="1938" w:type="dxa"/>
            <w:shd w:val="clear" w:color="auto" w:fill="D9EAF7"/>
          </w:tcPr>
          <w:p w14:paraId="1ECDB583" w14:textId="77777777" w:rsidR="00BB344D" w:rsidRPr="00733CFC" w:rsidRDefault="00000000" w:rsidP="00A10F48">
            <w:pPr>
              <w:rPr>
                <w:rFonts w:ascii="Calibri" w:hAnsi="Calibri" w:cs="Calibri"/>
              </w:rPr>
            </w:pPr>
            <w:r w:rsidRPr="00733CFC">
              <w:rPr>
                <w:rFonts w:ascii="Calibri" w:hAnsi="Calibri" w:cs="Calibri"/>
                <w:b/>
              </w:rPr>
              <w:t>Source</w:t>
            </w:r>
          </w:p>
        </w:tc>
        <w:tc>
          <w:tcPr>
            <w:tcW w:w="1938" w:type="dxa"/>
            <w:shd w:val="clear" w:color="auto" w:fill="D9EAF7"/>
          </w:tcPr>
          <w:p w14:paraId="54B9317D" w14:textId="77777777" w:rsidR="00BB344D" w:rsidRPr="00733CFC" w:rsidRDefault="00000000" w:rsidP="00A10F48">
            <w:pPr>
              <w:rPr>
                <w:rFonts w:ascii="Calibri" w:hAnsi="Calibri" w:cs="Calibri"/>
              </w:rPr>
            </w:pPr>
            <w:r w:rsidRPr="00733CFC">
              <w:rPr>
                <w:rFonts w:ascii="Calibri" w:hAnsi="Calibri" w:cs="Calibri"/>
                <w:b/>
              </w:rPr>
              <w:t>Definition</w:t>
            </w:r>
          </w:p>
        </w:tc>
        <w:tc>
          <w:tcPr>
            <w:tcW w:w="1938" w:type="dxa"/>
            <w:shd w:val="clear" w:color="auto" w:fill="D9EAF7"/>
          </w:tcPr>
          <w:p w14:paraId="5FAC6C83" w14:textId="77777777" w:rsidR="00BB344D" w:rsidRPr="00733CFC" w:rsidRDefault="00000000" w:rsidP="00A10F48">
            <w:pPr>
              <w:rPr>
                <w:rFonts w:ascii="Calibri" w:hAnsi="Calibri" w:cs="Calibri"/>
              </w:rPr>
            </w:pPr>
            <w:r w:rsidRPr="00733CFC">
              <w:rPr>
                <w:rFonts w:ascii="Calibri" w:hAnsi="Calibri" w:cs="Calibri"/>
                <w:b/>
              </w:rPr>
              <w:t>Main use</w:t>
            </w:r>
          </w:p>
        </w:tc>
        <w:tc>
          <w:tcPr>
            <w:tcW w:w="1938" w:type="dxa"/>
            <w:shd w:val="clear" w:color="auto" w:fill="D9EAF7"/>
          </w:tcPr>
          <w:p w14:paraId="74CBD134" w14:textId="77777777" w:rsidR="00BB344D" w:rsidRPr="00733CFC" w:rsidRDefault="00000000" w:rsidP="00A10F48">
            <w:pPr>
              <w:rPr>
                <w:rFonts w:ascii="Calibri" w:hAnsi="Calibri" w:cs="Calibri"/>
              </w:rPr>
            </w:pPr>
            <w:r w:rsidRPr="00733CFC">
              <w:rPr>
                <w:rFonts w:ascii="Calibri" w:hAnsi="Calibri" w:cs="Calibri"/>
                <w:b/>
              </w:rPr>
              <w:t>Main caveat</w:t>
            </w:r>
          </w:p>
        </w:tc>
      </w:tr>
      <w:tr w:rsidR="00BB344D" w:rsidRPr="00733CFC" w14:paraId="0F1E0ECB" w14:textId="77777777">
        <w:trPr>
          <w:jc w:val="center"/>
        </w:trPr>
        <w:tc>
          <w:tcPr>
            <w:tcW w:w="1938" w:type="dxa"/>
            <w:vAlign w:val="center"/>
          </w:tcPr>
          <w:p w14:paraId="1FE412C8" w14:textId="77777777" w:rsidR="00BB344D" w:rsidRPr="00733CFC" w:rsidRDefault="00000000" w:rsidP="00A10F48">
            <w:pPr>
              <w:rPr>
                <w:rFonts w:ascii="Calibri" w:hAnsi="Calibri" w:cs="Calibri"/>
              </w:rPr>
            </w:pPr>
            <w:r w:rsidRPr="00733CFC">
              <w:rPr>
                <w:rFonts w:ascii="Calibri" w:hAnsi="Calibri" w:cs="Calibri"/>
              </w:rPr>
              <w:t>ALCD2</w:t>
            </w:r>
          </w:p>
        </w:tc>
        <w:tc>
          <w:tcPr>
            <w:tcW w:w="1938" w:type="dxa"/>
            <w:vAlign w:val="center"/>
          </w:tcPr>
          <w:p w14:paraId="0BB1463F" w14:textId="77777777" w:rsidR="00BB344D" w:rsidRPr="00733CFC" w:rsidRDefault="00000000" w:rsidP="00A10F48">
            <w:pPr>
              <w:rPr>
                <w:rFonts w:ascii="Calibri" w:hAnsi="Calibri" w:cs="Calibri"/>
              </w:rPr>
            </w:pPr>
            <w:r w:rsidRPr="00733CFC">
              <w:rPr>
                <w:rFonts w:ascii="Calibri" w:hAnsi="Calibri" w:cs="Calibri"/>
              </w:rPr>
              <w:t>AMECO</w:t>
            </w:r>
          </w:p>
        </w:tc>
        <w:tc>
          <w:tcPr>
            <w:tcW w:w="1938" w:type="dxa"/>
            <w:vAlign w:val="center"/>
          </w:tcPr>
          <w:p w14:paraId="2AE08C38" w14:textId="77777777" w:rsidR="00BB344D" w:rsidRPr="00733CFC" w:rsidRDefault="00000000" w:rsidP="00A10F48">
            <w:pPr>
              <w:rPr>
                <w:rFonts w:ascii="Calibri" w:hAnsi="Calibri" w:cs="Calibri"/>
              </w:rPr>
            </w:pPr>
            <w:r w:rsidRPr="00733CFC">
              <w:rPr>
                <w:rFonts w:ascii="Calibri" w:hAnsi="Calibri" w:cs="Calibri"/>
              </w:rPr>
              <w:t>Adjusted labour share = adjusted COE / GDP at factor cost</w:t>
            </w:r>
          </w:p>
        </w:tc>
        <w:tc>
          <w:tcPr>
            <w:tcW w:w="1938" w:type="dxa"/>
            <w:vAlign w:val="center"/>
          </w:tcPr>
          <w:p w14:paraId="03701611" w14:textId="77777777" w:rsidR="00BB344D" w:rsidRPr="00733CFC" w:rsidRDefault="00000000" w:rsidP="00A10F48">
            <w:pPr>
              <w:rPr>
                <w:rFonts w:ascii="Calibri" w:hAnsi="Calibri" w:cs="Calibri"/>
              </w:rPr>
            </w:pPr>
            <w:r w:rsidRPr="00733CFC">
              <w:rPr>
                <w:rFonts w:ascii="Calibri" w:hAnsi="Calibri" w:cs="Calibri"/>
              </w:rPr>
              <w:t>Level model</w:t>
            </w:r>
          </w:p>
        </w:tc>
        <w:tc>
          <w:tcPr>
            <w:tcW w:w="1938" w:type="dxa"/>
            <w:vAlign w:val="center"/>
          </w:tcPr>
          <w:p w14:paraId="7E0B35DB" w14:textId="77777777" w:rsidR="00BB344D" w:rsidRPr="00733CFC" w:rsidRDefault="00000000" w:rsidP="00A10F48">
            <w:pPr>
              <w:rPr>
                <w:rFonts w:ascii="Calibri" w:hAnsi="Calibri" w:cs="Calibri"/>
              </w:rPr>
            </w:pPr>
            <w:r w:rsidRPr="00733CFC">
              <w:rPr>
                <w:rFonts w:ascii="Calibri" w:hAnsi="Calibri" w:cs="Calibri"/>
              </w:rPr>
              <w:t>No sectoral version</w:t>
            </w:r>
          </w:p>
        </w:tc>
      </w:tr>
      <w:tr w:rsidR="00BB344D" w:rsidRPr="00733CFC" w14:paraId="4DD10AEA" w14:textId="77777777">
        <w:trPr>
          <w:jc w:val="center"/>
        </w:trPr>
        <w:tc>
          <w:tcPr>
            <w:tcW w:w="1938" w:type="dxa"/>
            <w:vAlign w:val="center"/>
          </w:tcPr>
          <w:p w14:paraId="0F2A3B85" w14:textId="77777777" w:rsidR="00BB344D" w:rsidRPr="00733CFC" w:rsidRDefault="00000000" w:rsidP="00A10F48">
            <w:pPr>
              <w:rPr>
                <w:rFonts w:ascii="Calibri" w:hAnsi="Calibri" w:cs="Calibri"/>
              </w:rPr>
            </w:pPr>
            <w:r w:rsidRPr="00733CFC">
              <w:rPr>
                <w:rFonts w:ascii="Calibri" w:hAnsi="Calibri" w:cs="Calibri"/>
              </w:rPr>
              <w:t>OKND</w:t>
            </w:r>
          </w:p>
        </w:tc>
        <w:tc>
          <w:tcPr>
            <w:tcW w:w="1938" w:type="dxa"/>
            <w:vAlign w:val="center"/>
          </w:tcPr>
          <w:p w14:paraId="623A1284" w14:textId="77777777" w:rsidR="00BB344D" w:rsidRPr="00733CFC" w:rsidRDefault="00000000" w:rsidP="00A10F48">
            <w:pPr>
              <w:rPr>
                <w:rFonts w:ascii="Calibri" w:hAnsi="Calibri" w:cs="Calibri"/>
              </w:rPr>
            </w:pPr>
            <w:r w:rsidRPr="00733CFC">
              <w:rPr>
                <w:rFonts w:ascii="Calibri" w:hAnsi="Calibri" w:cs="Calibri"/>
              </w:rPr>
              <w:t>AMECO</w:t>
            </w:r>
          </w:p>
        </w:tc>
        <w:tc>
          <w:tcPr>
            <w:tcW w:w="1938" w:type="dxa"/>
            <w:vAlign w:val="center"/>
          </w:tcPr>
          <w:p w14:paraId="68E52A71" w14:textId="77777777" w:rsidR="00BB344D" w:rsidRPr="00733CFC" w:rsidRDefault="00000000" w:rsidP="00A10F48">
            <w:pPr>
              <w:rPr>
                <w:rFonts w:ascii="Calibri" w:hAnsi="Calibri" w:cs="Calibri"/>
              </w:rPr>
            </w:pPr>
            <w:r w:rsidRPr="00733CFC">
              <w:rPr>
                <w:rFonts w:ascii="Calibri" w:hAnsi="Calibri" w:cs="Calibri"/>
              </w:rPr>
              <w:t>Net capital stock</w:t>
            </w:r>
          </w:p>
        </w:tc>
        <w:tc>
          <w:tcPr>
            <w:tcW w:w="1938" w:type="dxa"/>
            <w:vAlign w:val="center"/>
          </w:tcPr>
          <w:p w14:paraId="3A9A1EBF" w14:textId="77777777" w:rsidR="00BB344D" w:rsidRPr="00733CFC" w:rsidRDefault="00000000" w:rsidP="00A10F48">
            <w:pPr>
              <w:rPr>
                <w:rFonts w:ascii="Calibri" w:hAnsi="Calibri" w:cs="Calibri"/>
              </w:rPr>
            </w:pPr>
            <w:r w:rsidRPr="00733CFC">
              <w:rPr>
                <w:rFonts w:ascii="Calibri" w:hAnsi="Calibri" w:cs="Calibri"/>
              </w:rPr>
              <w:t>Level model</w:t>
            </w:r>
          </w:p>
        </w:tc>
        <w:tc>
          <w:tcPr>
            <w:tcW w:w="1938" w:type="dxa"/>
            <w:vAlign w:val="center"/>
          </w:tcPr>
          <w:p w14:paraId="459A5C3B" w14:textId="77777777" w:rsidR="00BB344D" w:rsidRPr="00733CFC" w:rsidRDefault="00000000" w:rsidP="00A10F48">
            <w:pPr>
              <w:rPr>
                <w:rFonts w:ascii="Calibri" w:hAnsi="Calibri" w:cs="Calibri"/>
              </w:rPr>
            </w:pPr>
            <w:r w:rsidRPr="00733CFC">
              <w:rPr>
                <w:rFonts w:ascii="Calibri" w:hAnsi="Calibri" w:cs="Calibri"/>
              </w:rPr>
              <w:t>Stock, not services</w:t>
            </w:r>
          </w:p>
        </w:tc>
      </w:tr>
      <w:tr w:rsidR="00BB344D" w:rsidRPr="00733CFC" w14:paraId="4DD32800" w14:textId="77777777">
        <w:trPr>
          <w:jc w:val="center"/>
        </w:trPr>
        <w:tc>
          <w:tcPr>
            <w:tcW w:w="1938" w:type="dxa"/>
            <w:vAlign w:val="center"/>
          </w:tcPr>
          <w:p w14:paraId="679C97C9" w14:textId="77777777" w:rsidR="00BB344D" w:rsidRPr="00733CFC" w:rsidRDefault="00000000" w:rsidP="00A10F48">
            <w:pPr>
              <w:rPr>
                <w:rFonts w:ascii="Calibri" w:hAnsi="Calibri" w:cs="Calibri"/>
              </w:rPr>
            </w:pPr>
            <w:r w:rsidRPr="00733CFC">
              <w:rPr>
                <w:rFonts w:ascii="Calibri" w:hAnsi="Calibri" w:cs="Calibri"/>
              </w:rPr>
              <w:t>NLHT</w:t>
            </w:r>
          </w:p>
        </w:tc>
        <w:tc>
          <w:tcPr>
            <w:tcW w:w="1938" w:type="dxa"/>
            <w:vAlign w:val="center"/>
          </w:tcPr>
          <w:p w14:paraId="7D77DF9E" w14:textId="77777777" w:rsidR="00BB344D" w:rsidRPr="00733CFC" w:rsidRDefault="00000000" w:rsidP="00A10F48">
            <w:pPr>
              <w:rPr>
                <w:rFonts w:ascii="Calibri" w:hAnsi="Calibri" w:cs="Calibri"/>
              </w:rPr>
            </w:pPr>
            <w:r w:rsidRPr="00733CFC">
              <w:rPr>
                <w:rFonts w:ascii="Calibri" w:hAnsi="Calibri" w:cs="Calibri"/>
              </w:rPr>
              <w:t>AMECO</w:t>
            </w:r>
          </w:p>
        </w:tc>
        <w:tc>
          <w:tcPr>
            <w:tcW w:w="1938" w:type="dxa"/>
            <w:vAlign w:val="center"/>
          </w:tcPr>
          <w:p w14:paraId="7ACABC49" w14:textId="77777777" w:rsidR="00BB344D" w:rsidRPr="00733CFC" w:rsidRDefault="00000000" w:rsidP="00A10F48">
            <w:pPr>
              <w:rPr>
                <w:rFonts w:ascii="Calibri" w:hAnsi="Calibri" w:cs="Calibri"/>
              </w:rPr>
            </w:pPr>
            <w:r w:rsidRPr="00733CFC">
              <w:rPr>
                <w:rFonts w:ascii="Calibri" w:hAnsi="Calibri" w:cs="Calibri"/>
              </w:rPr>
              <w:t>Total hours worked</w:t>
            </w:r>
          </w:p>
        </w:tc>
        <w:tc>
          <w:tcPr>
            <w:tcW w:w="1938" w:type="dxa"/>
            <w:vAlign w:val="center"/>
          </w:tcPr>
          <w:p w14:paraId="4EA64184" w14:textId="77777777" w:rsidR="00BB344D" w:rsidRPr="00733CFC" w:rsidRDefault="00000000" w:rsidP="00A10F48">
            <w:pPr>
              <w:rPr>
                <w:rFonts w:ascii="Calibri" w:hAnsi="Calibri" w:cs="Calibri"/>
              </w:rPr>
            </w:pPr>
            <w:r w:rsidRPr="00733CFC">
              <w:rPr>
                <w:rFonts w:ascii="Calibri" w:hAnsi="Calibri" w:cs="Calibri"/>
              </w:rPr>
              <w:t>Level model</w:t>
            </w:r>
          </w:p>
        </w:tc>
        <w:tc>
          <w:tcPr>
            <w:tcW w:w="1938" w:type="dxa"/>
            <w:vAlign w:val="center"/>
          </w:tcPr>
          <w:p w14:paraId="5B2C4EAD" w14:textId="77777777" w:rsidR="00BB344D" w:rsidRPr="00733CFC" w:rsidRDefault="00000000" w:rsidP="00A10F48">
            <w:pPr>
              <w:rPr>
                <w:rFonts w:ascii="Calibri" w:hAnsi="Calibri" w:cs="Calibri"/>
              </w:rPr>
            </w:pPr>
            <w:r w:rsidRPr="00733CFC">
              <w:rPr>
                <w:rFonts w:ascii="Calibri" w:hAnsi="Calibri" w:cs="Calibri"/>
              </w:rPr>
              <w:t>Hours level only</w:t>
            </w:r>
          </w:p>
        </w:tc>
      </w:tr>
      <w:tr w:rsidR="00BB344D" w:rsidRPr="00733CFC" w14:paraId="0D6D2CD6" w14:textId="77777777">
        <w:trPr>
          <w:jc w:val="center"/>
        </w:trPr>
        <w:tc>
          <w:tcPr>
            <w:tcW w:w="1938" w:type="dxa"/>
            <w:vAlign w:val="center"/>
          </w:tcPr>
          <w:p w14:paraId="38B26A15" w14:textId="77777777" w:rsidR="00BB344D" w:rsidRPr="00733CFC" w:rsidRDefault="00000000" w:rsidP="00A10F48">
            <w:pPr>
              <w:rPr>
                <w:rFonts w:ascii="Calibri" w:hAnsi="Calibri" w:cs="Calibri"/>
              </w:rPr>
            </w:pPr>
            <w:r w:rsidRPr="00733CFC">
              <w:rPr>
                <w:rFonts w:ascii="Calibri" w:hAnsi="Calibri" w:cs="Calibri"/>
              </w:rPr>
              <w:t>LC/GVA</w:t>
            </w:r>
          </w:p>
        </w:tc>
        <w:tc>
          <w:tcPr>
            <w:tcW w:w="1938" w:type="dxa"/>
            <w:vAlign w:val="center"/>
          </w:tcPr>
          <w:p w14:paraId="2F9C788E" w14:textId="77777777" w:rsidR="00BB344D" w:rsidRPr="00733CFC" w:rsidRDefault="00000000" w:rsidP="00A10F48">
            <w:pPr>
              <w:rPr>
                <w:rFonts w:ascii="Calibri" w:hAnsi="Calibri" w:cs="Calibri"/>
              </w:rPr>
            </w:pPr>
            <w:r w:rsidRPr="00733CFC">
              <w:rPr>
                <w:rFonts w:ascii="Calibri" w:hAnsi="Calibri" w:cs="Calibri"/>
              </w:rPr>
              <w:t>OECD</w:t>
            </w:r>
          </w:p>
        </w:tc>
        <w:tc>
          <w:tcPr>
            <w:tcW w:w="1938" w:type="dxa"/>
            <w:vAlign w:val="center"/>
          </w:tcPr>
          <w:p w14:paraId="20C999A8" w14:textId="77777777" w:rsidR="00BB344D" w:rsidRPr="00733CFC" w:rsidRDefault="00000000" w:rsidP="00A10F48">
            <w:pPr>
              <w:rPr>
                <w:rFonts w:ascii="Calibri" w:hAnsi="Calibri" w:cs="Calibri"/>
              </w:rPr>
            </w:pPr>
            <w:r w:rsidRPr="00733CFC">
              <w:rPr>
                <w:rFonts w:ascii="Calibri" w:hAnsi="Calibri" w:cs="Calibri"/>
              </w:rPr>
              <w:t>Constructed labour share</w:t>
            </w:r>
          </w:p>
        </w:tc>
        <w:tc>
          <w:tcPr>
            <w:tcW w:w="1938" w:type="dxa"/>
            <w:vAlign w:val="center"/>
          </w:tcPr>
          <w:p w14:paraId="7118931A" w14:textId="77777777" w:rsidR="00BB344D" w:rsidRPr="00733CFC" w:rsidRDefault="00000000" w:rsidP="00A10F48">
            <w:pPr>
              <w:rPr>
                <w:rFonts w:ascii="Calibri" w:hAnsi="Calibri" w:cs="Calibri"/>
              </w:rPr>
            </w:pPr>
            <w:r w:rsidRPr="00733CFC">
              <w:rPr>
                <w:rFonts w:ascii="Calibri" w:hAnsi="Calibri" w:cs="Calibri"/>
              </w:rPr>
              <w:t>Growth and sectoral models</w:t>
            </w:r>
          </w:p>
        </w:tc>
        <w:tc>
          <w:tcPr>
            <w:tcW w:w="1938" w:type="dxa"/>
            <w:vAlign w:val="center"/>
          </w:tcPr>
          <w:p w14:paraId="56D03AD0" w14:textId="77777777" w:rsidR="00BB344D" w:rsidRPr="00733CFC" w:rsidRDefault="00000000" w:rsidP="00A10F48">
            <w:pPr>
              <w:rPr>
                <w:rFonts w:ascii="Calibri" w:hAnsi="Calibri" w:cs="Calibri"/>
              </w:rPr>
            </w:pPr>
            <w:r w:rsidRPr="00733CFC">
              <w:rPr>
                <w:rFonts w:ascii="Calibri" w:hAnsi="Calibri" w:cs="Calibri"/>
              </w:rPr>
              <w:t>Uses GVA at basic prices</w:t>
            </w:r>
          </w:p>
        </w:tc>
      </w:tr>
      <w:tr w:rsidR="00BB344D" w:rsidRPr="00733CFC" w14:paraId="5C2FAD7A" w14:textId="77777777">
        <w:trPr>
          <w:jc w:val="center"/>
        </w:trPr>
        <w:tc>
          <w:tcPr>
            <w:tcW w:w="1938" w:type="dxa"/>
            <w:vAlign w:val="center"/>
          </w:tcPr>
          <w:p w14:paraId="305DB71B" w14:textId="77777777" w:rsidR="00BB344D" w:rsidRPr="00733CFC" w:rsidRDefault="00000000" w:rsidP="00A10F48">
            <w:pPr>
              <w:rPr>
                <w:rFonts w:ascii="Calibri" w:hAnsi="Calibri" w:cs="Calibri"/>
              </w:rPr>
            </w:pPr>
            <w:r w:rsidRPr="00733CFC">
              <w:rPr>
                <w:rFonts w:ascii="Calibri" w:hAnsi="Calibri" w:cs="Calibri"/>
              </w:rPr>
              <w:t>KSER</w:t>
            </w:r>
          </w:p>
        </w:tc>
        <w:tc>
          <w:tcPr>
            <w:tcW w:w="1938" w:type="dxa"/>
            <w:vAlign w:val="center"/>
          </w:tcPr>
          <w:p w14:paraId="1646447A" w14:textId="77777777" w:rsidR="00BB344D" w:rsidRPr="00733CFC" w:rsidRDefault="00000000" w:rsidP="00A10F48">
            <w:pPr>
              <w:rPr>
                <w:rFonts w:ascii="Calibri" w:hAnsi="Calibri" w:cs="Calibri"/>
              </w:rPr>
            </w:pPr>
            <w:r w:rsidRPr="00733CFC">
              <w:rPr>
                <w:rFonts w:ascii="Calibri" w:hAnsi="Calibri" w:cs="Calibri"/>
              </w:rPr>
              <w:t>OECD</w:t>
            </w:r>
          </w:p>
        </w:tc>
        <w:tc>
          <w:tcPr>
            <w:tcW w:w="1938" w:type="dxa"/>
            <w:vAlign w:val="center"/>
          </w:tcPr>
          <w:p w14:paraId="20BDC29B" w14:textId="77777777" w:rsidR="00BB344D" w:rsidRPr="00733CFC" w:rsidRDefault="00000000" w:rsidP="00A10F48">
            <w:pPr>
              <w:rPr>
                <w:rFonts w:ascii="Calibri" w:hAnsi="Calibri" w:cs="Calibri"/>
              </w:rPr>
            </w:pPr>
            <w:r w:rsidRPr="00733CFC">
              <w:rPr>
                <w:rFonts w:ascii="Calibri" w:hAnsi="Calibri" w:cs="Calibri"/>
              </w:rPr>
              <w:t>Capital services growth</w:t>
            </w:r>
          </w:p>
        </w:tc>
        <w:tc>
          <w:tcPr>
            <w:tcW w:w="1938" w:type="dxa"/>
            <w:vAlign w:val="center"/>
          </w:tcPr>
          <w:p w14:paraId="2ADF7652" w14:textId="77777777" w:rsidR="00BB344D" w:rsidRPr="00733CFC" w:rsidRDefault="00000000" w:rsidP="00A10F48">
            <w:pPr>
              <w:rPr>
                <w:rFonts w:ascii="Calibri" w:hAnsi="Calibri" w:cs="Calibri"/>
              </w:rPr>
            </w:pPr>
            <w:r w:rsidRPr="00733CFC">
              <w:rPr>
                <w:rFonts w:ascii="Calibri" w:hAnsi="Calibri" w:cs="Calibri"/>
              </w:rPr>
              <w:t>Growth model</w:t>
            </w:r>
          </w:p>
        </w:tc>
        <w:tc>
          <w:tcPr>
            <w:tcW w:w="1938" w:type="dxa"/>
            <w:vAlign w:val="center"/>
          </w:tcPr>
          <w:p w14:paraId="59CB029A" w14:textId="77777777" w:rsidR="00BB344D" w:rsidRPr="00733CFC" w:rsidRDefault="00000000" w:rsidP="00A10F48">
            <w:pPr>
              <w:rPr>
                <w:rFonts w:ascii="Calibri" w:hAnsi="Calibri" w:cs="Calibri"/>
              </w:rPr>
            </w:pPr>
            <w:r w:rsidRPr="00733CFC">
              <w:rPr>
                <w:rFonts w:ascii="Calibri" w:hAnsi="Calibri" w:cs="Calibri"/>
              </w:rPr>
              <w:t>Level comparability weaker across countries</w:t>
            </w:r>
          </w:p>
        </w:tc>
      </w:tr>
      <w:tr w:rsidR="00BB344D" w:rsidRPr="00733CFC" w14:paraId="4663C69D" w14:textId="77777777">
        <w:trPr>
          <w:jc w:val="center"/>
        </w:trPr>
        <w:tc>
          <w:tcPr>
            <w:tcW w:w="1938" w:type="dxa"/>
            <w:vAlign w:val="center"/>
          </w:tcPr>
          <w:p w14:paraId="2C1F11DD" w14:textId="77777777" w:rsidR="00BB344D" w:rsidRPr="00733CFC" w:rsidRDefault="00000000" w:rsidP="00A10F48">
            <w:pPr>
              <w:rPr>
                <w:rFonts w:ascii="Calibri" w:hAnsi="Calibri" w:cs="Calibri"/>
              </w:rPr>
            </w:pPr>
            <w:r w:rsidRPr="00733CFC">
              <w:rPr>
                <w:rFonts w:ascii="Calibri" w:hAnsi="Calibri" w:cs="Calibri"/>
              </w:rPr>
              <w:t>KSERHRS</w:t>
            </w:r>
          </w:p>
        </w:tc>
        <w:tc>
          <w:tcPr>
            <w:tcW w:w="1938" w:type="dxa"/>
            <w:vAlign w:val="center"/>
          </w:tcPr>
          <w:p w14:paraId="3EFD1E62" w14:textId="77777777" w:rsidR="00BB344D" w:rsidRPr="00733CFC" w:rsidRDefault="00000000" w:rsidP="00A10F48">
            <w:pPr>
              <w:rPr>
                <w:rFonts w:ascii="Calibri" w:hAnsi="Calibri" w:cs="Calibri"/>
              </w:rPr>
            </w:pPr>
            <w:r w:rsidRPr="00733CFC">
              <w:rPr>
                <w:rFonts w:ascii="Calibri" w:hAnsi="Calibri" w:cs="Calibri"/>
              </w:rPr>
              <w:t>OECD</w:t>
            </w:r>
          </w:p>
        </w:tc>
        <w:tc>
          <w:tcPr>
            <w:tcW w:w="1938" w:type="dxa"/>
            <w:vAlign w:val="center"/>
          </w:tcPr>
          <w:p w14:paraId="0F8359F0" w14:textId="77777777" w:rsidR="00BB344D" w:rsidRPr="00733CFC" w:rsidRDefault="00000000" w:rsidP="00A10F48">
            <w:pPr>
              <w:rPr>
                <w:rFonts w:ascii="Calibri" w:hAnsi="Calibri" w:cs="Calibri"/>
              </w:rPr>
            </w:pPr>
            <w:r w:rsidRPr="00733CFC">
              <w:rPr>
                <w:rFonts w:ascii="Calibri" w:hAnsi="Calibri" w:cs="Calibri"/>
              </w:rPr>
              <w:t>Capital deepening = capital services per hour</w:t>
            </w:r>
          </w:p>
        </w:tc>
        <w:tc>
          <w:tcPr>
            <w:tcW w:w="1938" w:type="dxa"/>
            <w:vAlign w:val="center"/>
          </w:tcPr>
          <w:p w14:paraId="3D1E18D7" w14:textId="77777777" w:rsidR="00BB344D" w:rsidRPr="00733CFC" w:rsidRDefault="00000000" w:rsidP="00A10F48">
            <w:pPr>
              <w:rPr>
                <w:rFonts w:ascii="Calibri" w:hAnsi="Calibri" w:cs="Calibri"/>
              </w:rPr>
            </w:pPr>
            <w:r w:rsidRPr="00733CFC">
              <w:rPr>
                <w:rFonts w:ascii="Calibri" w:hAnsi="Calibri" w:cs="Calibri"/>
              </w:rPr>
              <w:t>Growth model</w:t>
            </w:r>
          </w:p>
        </w:tc>
        <w:tc>
          <w:tcPr>
            <w:tcW w:w="1938" w:type="dxa"/>
            <w:vAlign w:val="center"/>
          </w:tcPr>
          <w:p w14:paraId="46ABC2FA" w14:textId="77777777" w:rsidR="00BB344D" w:rsidRPr="00733CFC" w:rsidRDefault="00000000" w:rsidP="00A10F48">
            <w:pPr>
              <w:rPr>
                <w:rFonts w:ascii="Calibri" w:hAnsi="Calibri" w:cs="Calibri"/>
              </w:rPr>
            </w:pPr>
            <w:r w:rsidRPr="00733CFC">
              <w:rPr>
                <w:rFonts w:ascii="Calibri" w:hAnsi="Calibri" w:cs="Calibri"/>
              </w:rPr>
              <w:t>Provided mainly in growth form</w:t>
            </w:r>
          </w:p>
        </w:tc>
      </w:tr>
      <w:tr w:rsidR="00BB344D" w:rsidRPr="00733CFC" w14:paraId="22F9AA5B" w14:textId="77777777">
        <w:trPr>
          <w:jc w:val="center"/>
        </w:trPr>
        <w:tc>
          <w:tcPr>
            <w:tcW w:w="1938" w:type="dxa"/>
            <w:vAlign w:val="center"/>
          </w:tcPr>
          <w:p w14:paraId="7CC74E0C" w14:textId="77777777" w:rsidR="00BB344D" w:rsidRPr="00733CFC" w:rsidRDefault="00000000" w:rsidP="00A10F48">
            <w:pPr>
              <w:rPr>
                <w:rFonts w:ascii="Calibri" w:hAnsi="Calibri" w:cs="Calibri"/>
              </w:rPr>
            </w:pPr>
            <w:r w:rsidRPr="00733CFC">
              <w:rPr>
                <w:rFonts w:ascii="Calibri" w:hAnsi="Calibri" w:cs="Calibri"/>
              </w:rPr>
              <w:t>HRSTO</w:t>
            </w:r>
          </w:p>
        </w:tc>
        <w:tc>
          <w:tcPr>
            <w:tcW w:w="1938" w:type="dxa"/>
            <w:vAlign w:val="center"/>
          </w:tcPr>
          <w:p w14:paraId="050A1A79" w14:textId="77777777" w:rsidR="00BB344D" w:rsidRPr="00733CFC" w:rsidRDefault="00000000" w:rsidP="00A10F48">
            <w:pPr>
              <w:rPr>
                <w:rFonts w:ascii="Calibri" w:hAnsi="Calibri" w:cs="Calibri"/>
              </w:rPr>
            </w:pPr>
            <w:r w:rsidRPr="00733CFC">
              <w:rPr>
                <w:rFonts w:ascii="Calibri" w:hAnsi="Calibri" w:cs="Calibri"/>
              </w:rPr>
              <w:t>OECD</w:t>
            </w:r>
          </w:p>
        </w:tc>
        <w:tc>
          <w:tcPr>
            <w:tcW w:w="1938" w:type="dxa"/>
            <w:vAlign w:val="center"/>
          </w:tcPr>
          <w:p w14:paraId="6FA64E06" w14:textId="77777777" w:rsidR="00BB344D" w:rsidRPr="00733CFC" w:rsidRDefault="00000000" w:rsidP="00A10F48">
            <w:pPr>
              <w:rPr>
                <w:rFonts w:ascii="Calibri" w:hAnsi="Calibri" w:cs="Calibri"/>
              </w:rPr>
            </w:pPr>
            <w:r w:rsidRPr="00733CFC">
              <w:rPr>
                <w:rFonts w:ascii="Calibri" w:hAnsi="Calibri" w:cs="Calibri"/>
              </w:rPr>
              <w:t>Hours worked for total employment</w:t>
            </w:r>
          </w:p>
        </w:tc>
        <w:tc>
          <w:tcPr>
            <w:tcW w:w="1938" w:type="dxa"/>
            <w:vAlign w:val="center"/>
          </w:tcPr>
          <w:p w14:paraId="5A0C339D" w14:textId="77777777" w:rsidR="00BB344D" w:rsidRPr="00733CFC" w:rsidRDefault="00000000" w:rsidP="00A10F48">
            <w:pPr>
              <w:rPr>
                <w:rFonts w:ascii="Calibri" w:hAnsi="Calibri" w:cs="Calibri"/>
              </w:rPr>
            </w:pPr>
            <w:r w:rsidRPr="00733CFC">
              <w:rPr>
                <w:rFonts w:ascii="Calibri" w:hAnsi="Calibri" w:cs="Calibri"/>
              </w:rPr>
              <w:t>Growth and sectoral models</w:t>
            </w:r>
          </w:p>
        </w:tc>
        <w:tc>
          <w:tcPr>
            <w:tcW w:w="1938" w:type="dxa"/>
            <w:vAlign w:val="center"/>
          </w:tcPr>
          <w:p w14:paraId="2124FC8E" w14:textId="77777777" w:rsidR="00BB344D" w:rsidRPr="00733CFC" w:rsidRDefault="00000000" w:rsidP="00A10F48">
            <w:pPr>
              <w:rPr>
                <w:rFonts w:ascii="Calibri" w:hAnsi="Calibri" w:cs="Calibri"/>
              </w:rPr>
            </w:pPr>
            <w:r w:rsidRPr="00733CFC">
              <w:rPr>
                <w:rFonts w:ascii="Calibri" w:hAnsi="Calibri" w:cs="Calibri"/>
              </w:rPr>
              <w:t>Must compute growth in Python</w:t>
            </w:r>
          </w:p>
        </w:tc>
      </w:tr>
    </w:tbl>
    <w:p w14:paraId="62B204B2" w14:textId="77777777" w:rsidR="009278C4" w:rsidRDefault="009278C4" w:rsidP="00A10F48">
      <w:pPr>
        <w:pStyle w:val="Heading1"/>
        <w:spacing w:before="0" w:line="240" w:lineRule="auto"/>
        <w:rPr>
          <w:rFonts w:ascii="Calibri" w:hAnsi="Calibri" w:cs="Calibri"/>
        </w:rPr>
      </w:pPr>
    </w:p>
    <w:p w14:paraId="5F092592" w14:textId="3200C5D3" w:rsidR="00BB344D" w:rsidRPr="00733CFC" w:rsidRDefault="00000000" w:rsidP="00A10F48">
      <w:pPr>
        <w:pStyle w:val="Heading1"/>
        <w:spacing w:before="0" w:line="240" w:lineRule="auto"/>
        <w:rPr>
          <w:rFonts w:ascii="Calibri" w:hAnsi="Calibri" w:cs="Calibri"/>
        </w:rPr>
      </w:pPr>
      <w:r w:rsidRPr="00733CFC">
        <w:rPr>
          <w:rFonts w:ascii="Calibri" w:hAnsi="Calibri" w:cs="Calibri"/>
        </w:rPr>
        <w:t>4. Data strategy: why the project uses different datasets across models</w:t>
      </w:r>
    </w:p>
    <w:p w14:paraId="7CF33AEF"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The split is methodological, not accidental. </w:t>
      </w:r>
      <w:r w:rsidRPr="00733CFC">
        <w:rPr>
          <w:rFonts w:ascii="Calibri" w:hAnsi="Calibri" w:cs="Calibri"/>
        </w:rPr>
        <w:t>AMECO is best suited for the cross-country level exercise because it provides a labour-share measure that is explicitly adjusted for self-employment and defined over GDP at factor cost, together with capital-stock levels in a more comparable monetary unit. OECD is best suited for growth analysis because it provides capital services, capital deepening, and sectoral output and labour data within a productivity framework.</w:t>
      </w:r>
    </w:p>
    <w:p w14:paraId="1A28EE6B"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Why not use OECD for levels as well? </w:t>
      </w:r>
      <w:r w:rsidRPr="00733CFC">
        <w:rPr>
          <w:rFonts w:ascii="Calibri" w:hAnsi="Calibri" w:cs="Calibri"/>
        </w:rPr>
        <w:t>Because OECD capital-service levels are in national currency and current-price or rebased productivity units, which weakens direct cross-country comparability. Growth rates avoid that problem, because currency units cancel out in first differences of logarithms.</w:t>
      </w:r>
    </w:p>
    <w:p w14:paraId="2F4F41A2"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Why not use AMECO for sectoral analysis? </w:t>
      </w:r>
      <w:r w:rsidRPr="00733CFC">
        <w:rPr>
          <w:rFonts w:ascii="Calibri" w:hAnsi="Calibri" w:cs="Calibri"/>
        </w:rPr>
        <w:t>Because the sectoral labour-share measure is not readily available there in the same way, while the OECD Productivity Database is built precisely to support industry-level productivity analysis.</w:t>
      </w:r>
    </w:p>
    <w:p w14:paraId="0E95B7A0" w14:textId="77777777" w:rsidR="00BB344D" w:rsidRPr="00733CFC" w:rsidRDefault="00000000" w:rsidP="00A10F48">
      <w:pPr>
        <w:pStyle w:val="Heading1"/>
        <w:spacing w:before="0" w:line="240" w:lineRule="auto"/>
        <w:rPr>
          <w:rFonts w:ascii="Calibri" w:hAnsi="Calibri" w:cs="Calibri"/>
        </w:rPr>
      </w:pPr>
      <w:r w:rsidRPr="00733CFC">
        <w:rPr>
          <w:rFonts w:ascii="Calibri" w:hAnsi="Calibri" w:cs="Calibri"/>
        </w:rPr>
        <w:lastRenderedPageBreak/>
        <w:t>5. Empirical models</w:t>
      </w:r>
    </w:p>
    <w:p w14:paraId="20B22B73" w14:textId="77777777" w:rsidR="00BB344D" w:rsidRPr="00733CFC" w:rsidRDefault="00000000" w:rsidP="00A10F48">
      <w:pPr>
        <w:pStyle w:val="Heading2"/>
        <w:spacing w:line="240" w:lineRule="auto"/>
        <w:rPr>
          <w:rFonts w:ascii="Calibri" w:hAnsi="Calibri" w:cs="Calibri"/>
        </w:rPr>
      </w:pPr>
      <w:r w:rsidRPr="00733CFC">
        <w:rPr>
          <w:rFonts w:ascii="Calibri" w:hAnsi="Calibri" w:cs="Calibri"/>
        </w:rPr>
        <w:t>5.1 Model 1: Cross-country levels (AMECO, OECD advanced economies)</w:t>
      </w:r>
    </w:p>
    <w:p w14:paraId="6E39A8B3"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Scope. </w:t>
      </w:r>
      <w:r w:rsidRPr="00733CFC">
        <w:rPr>
          <w:rFonts w:ascii="Calibri" w:hAnsi="Calibri" w:cs="Calibri"/>
        </w:rPr>
        <w:t>This specification uses a single year for a cross-section of advanced OECD economies. It is the cleanest theoretical model in the project because it combines adjusted labour shares defined on GDP at factor cost with a level measure of capital intensity.</w:t>
      </w:r>
    </w:p>
    <w:p w14:paraId="3509D7A2" w14:textId="4791CA2C" w:rsidR="00BB344D" w:rsidRPr="00733CFC" w:rsidRDefault="00000000" w:rsidP="00A10F48">
      <w:pPr>
        <w:spacing w:after="0" w:line="240" w:lineRule="auto"/>
        <w:rPr>
          <w:rFonts w:ascii="Calibri" w:hAnsi="Calibri" w:cs="Calibri"/>
        </w:rPr>
      </w:pPr>
      <w:r w:rsidRPr="00733CFC">
        <w:rPr>
          <w:rFonts w:ascii="Calibri" w:hAnsi="Calibri" w:cs="Calibri"/>
          <w:b/>
        </w:rPr>
        <w:t xml:space="preserve">Construction. </w:t>
      </w:r>
      <w:r w:rsidRPr="00733CFC">
        <w:rPr>
          <w:rFonts w:ascii="Calibri" w:hAnsi="Calibri" w:cs="Calibri"/>
        </w:rPr>
        <w:t>The variables are constructed as follows:</w:t>
      </w:r>
    </w:p>
    <w:p w14:paraId="55A23E63" w14:textId="77777777" w:rsidR="00BB344D" w:rsidRPr="00733CFC" w:rsidRDefault="00000000" w:rsidP="00A10F48">
      <w:pPr>
        <w:spacing w:after="0" w:line="240" w:lineRule="auto"/>
        <w:rPr>
          <w:rFonts w:ascii="Calibri" w:hAnsi="Calibri" w:cs="Calibri"/>
        </w:rPr>
      </w:pPr>
      <w:r w:rsidRPr="00733CFC">
        <w:rPr>
          <w:rFonts w:ascii="Calibri" w:hAnsi="Calibri" w:cs="Calibri"/>
        </w:rPr>
        <w:t>sL = ALCD2 / 100</w:t>
      </w:r>
    </w:p>
    <w:p w14:paraId="4C404251" w14:textId="77777777" w:rsidR="00BB344D" w:rsidRPr="00733CFC" w:rsidRDefault="00000000" w:rsidP="00A10F48">
      <w:pPr>
        <w:spacing w:after="0" w:line="240" w:lineRule="auto"/>
        <w:rPr>
          <w:rFonts w:ascii="Calibri" w:hAnsi="Calibri" w:cs="Calibri"/>
        </w:rPr>
      </w:pPr>
      <w:r w:rsidRPr="00733CFC">
        <w:rPr>
          <w:rFonts w:ascii="Calibri" w:hAnsi="Calibri" w:cs="Calibri"/>
        </w:rPr>
        <w:t>sK = 1 − sL</w:t>
      </w:r>
    </w:p>
    <w:p w14:paraId="583CFBE9" w14:textId="77777777" w:rsidR="00BB344D" w:rsidRPr="00733CFC" w:rsidRDefault="00000000" w:rsidP="00A10F48">
      <w:pPr>
        <w:spacing w:after="0" w:line="240" w:lineRule="auto"/>
        <w:rPr>
          <w:rFonts w:ascii="Calibri" w:hAnsi="Calibri" w:cs="Calibri"/>
        </w:rPr>
      </w:pPr>
      <w:r w:rsidRPr="00733CFC">
        <w:rPr>
          <w:rFonts w:ascii="Calibri" w:hAnsi="Calibri" w:cs="Calibri"/>
        </w:rPr>
        <w:t>y = ln(sL / sK)</w:t>
      </w:r>
    </w:p>
    <w:p w14:paraId="3698F55C" w14:textId="77777777" w:rsidR="00BB344D" w:rsidRPr="00733CFC" w:rsidRDefault="00000000" w:rsidP="00A10F48">
      <w:pPr>
        <w:spacing w:after="0" w:line="240" w:lineRule="auto"/>
        <w:rPr>
          <w:rFonts w:ascii="Calibri" w:hAnsi="Calibri" w:cs="Calibri"/>
        </w:rPr>
      </w:pPr>
      <w:r w:rsidRPr="00733CFC">
        <w:rPr>
          <w:rFonts w:ascii="Calibri" w:hAnsi="Calibri" w:cs="Calibri"/>
        </w:rPr>
        <w:t>x = ln(OKND / NLHT)</w:t>
      </w:r>
    </w:p>
    <w:p w14:paraId="25098A7D"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Regression. </w:t>
      </w:r>
      <w:r w:rsidRPr="00733CFC">
        <w:rPr>
          <w:rFonts w:ascii="Calibri" w:hAnsi="Calibri" w:cs="Calibri"/>
        </w:rPr>
        <w:t>The baseline equation is:</w:t>
      </w:r>
    </w:p>
    <w:p w14:paraId="7A129C7F" w14:textId="77777777" w:rsidR="00BB344D" w:rsidRPr="00733CFC" w:rsidRDefault="00000000" w:rsidP="00A10F48">
      <w:pPr>
        <w:spacing w:after="0" w:line="240" w:lineRule="auto"/>
        <w:rPr>
          <w:rFonts w:ascii="Calibri" w:hAnsi="Calibri" w:cs="Calibri"/>
        </w:rPr>
      </w:pPr>
      <w:r w:rsidRPr="00733CFC">
        <w:rPr>
          <w:rFonts w:ascii="Calibri" w:hAnsi="Calibri" w:cs="Calibri"/>
        </w:rPr>
        <w:t>y_c = β0 + β1 x_c + ε_c</w:t>
      </w:r>
    </w:p>
    <w:p w14:paraId="370AB218"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Visual diagnostics. </w:t>
      </w:r>
      <w:r w:rsidRPr="00733CFC">
        <w:rPr>
          <w:rFonts w:ascii="Calibri" w:hAnsi="Calibri" w:cs="Calibri"/>
        </w:rPr>
        <w:t>A cross-country scatter plot should be produced with the share ratio on one axis and capital intensity on the other. The theoretically preferred chart is log-log, i.e. X = ln(K/H) and Y = ln(sL/sK). A level-level scatter may still be shown as a descriptive complement.</w:t>
      </w:r>
    </w:p>
    <w:p w14:paraId="305F033C"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Interpretation. </w:t>
      </w:r>
      <w:r w:rsidRPr="00733CFC">
        <w:rPr>
          <w:rFonts w:ascii="Calibri" w:hAnsi="Calibri" w:cs="Calibri"/>
        </w:rPr>
        <w:t>This specification measures how structural differences in capital intensity across advanced economies map into differences in functional income distribution.</w:t>
      </w:r>
    </w:p>
    <w:p w14:paraId="480BD755" w14:textId="77777777" w:rsidR="00BB344D" w:rsidRPr="00733CFC" w:rsidRDefault="00000000" w:rsidP="00A10F48">
      <w:pPr>
        <w:pStyle w:val="Heading2"/>
        <w:spacing w:line="240" w:lineRule="auto"/>
        <w:rPr>
          <w:rFonts w:ascii="Calibri" w:hAnsi="Calibri" w:cs="Calibri"/>
        </w:rPr>
      </w:pPr>
      <w:r w:rsidRPr="00733CFC">
        <w:rPr>
          <w:rFonts w:ascii="Calibri" w:hAnsi="Calibri" w:cs="Calibri"/>
        </w:rPr>
        <w:t>5.2 Model 2: Non-sectoral growth panel (OECD, G7 economies)</w:t>
      </w:r>
    </w:p>
    <w:p w14:paraId="0950BD1C"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Scope. </w:t>
      </w:r>
      <w:r w:rsidRPr="00733CFC">
        <w:rPr>
          <w:rFonts w:ascii="Calibri" w:hAnsi="Calibri" w:cs="Calibri"/>
        </w:rPr>
        <w:t>This specification exploits time variation within G7 economies. It is necessary because the OECD dynamic variables are the most suitable ones for capturing capital input as capital services rather than as capital stock.</w:t>
      </w:r>
    </w:p>
    <w:p w14:paraId="79739DDB"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Construction of the dependent variable. </w:t>
      </w:r>
      <w:r w:rsidRPr="00733CFC">
        <w:rPr>
          <w:rFonts w:ascii="Calibri" w:hAnsi="Calibri" w:cs="Calibri"/>
        </w:rPr>
        <w:t>First construct the OECD labour share and then its log ratio:</w:t>
      </w:r>
    </w:p>
    <w:p w14:paraId="637BCDB9" w14:textId="77777777" w:rsidR="00BB344D" w:rsidRPr="00733CFC" w:rsidRDefault="00000000" w:rsidP="00A10F48">
      <w:pPr>
        <w:spacing w:after="0" w:line="240" w:lineRule="auto"/>
        <w:rPr>
          <w:rFonts w:ascii="Calibri" w:hAnsi="Calibri" w:cs="Calibri"/>
        </w:rPr>
      </w:pPr>
      <w:r w:rsidRPr="00733CFC">
        <w:rPr>
          <w:rFonts w:ascii="Calibri" w:hAnsi="Calibri" w:cs="Calibri"/>
        </w:rPr>
        <w:t>sL = LC / GVA</w:t>
      </w:r>
    </w:p>
    <w:p w14:paraId="1F901317" w14:textId="77777777" w:rsidR="00BB344D" w:rsidRPr="00733CFC" w:rsidRDefault="00000000" w:rsidP="00A10F48">
      <w:pPr>
        <w:spacing w:after="0" w:line="240" w:lineRule="auto"/>
        <w:rPr>
          <w:rFonts w:ascii="Calibri" w:hAnsi="Calibri" w:cs="Calibri"/>
        </w:rPr>
      </w:pPr>
      <w:r w:rsidRPr="00733CFC">
        <w:rPr>
          <w:rFonts w:ascii="Calibri" w:hAnsi="Calibri" w:cs="Calibri"/>
        </w:rPr>
        <w:t>sK = 1 − sL</w:t>
      </w:r>
    </w:p>
    <w:p w14:paraId="75392DDF" w14:textId="77777777" w:rsidR="00BB344D" w:rsidRPr="00733CFC" w:rsidRDefault="00000000" w:rsidP="00A10F48">
      <w:pPr>
        <w:spacing w:after="0" w:line="240" w:lineRule="auto"/>
        <w:rPr>
          <w:rFonts w:ascii="Calibri" w:hAnsi="Calibri" w:cs="Calibri"/>
        </w:rPr>
      </w:pPr>
      <w:r w:rsidRPr="00733CFC">
        <w:rPr>
          <w:rFonts w:ascii="Calibri" w:hAnsi="Calibri" w:cs="Calibri"/>
        </w:rPr>
        <w:t>y = ln(sL / sK)</w:t>
      </w:r>
    </w:p>
    <w:p w14:paraId="2DA1C005" w14:textId="77777777" w:rsidR="00BB344D" w:rsidRPr="00733CFC" w:rsidRDefault="00000000" w:rsidP="00A10F48">
      <w:pPr>
        <w:spacing w:after="0" w:line="240" w:lineRule="auto"/>
        <w:rPr>
          <w:rFonts w:ascii="Calibri" w:hAnsi="Calibri" w:cs="Calibri"/>
        </w:rPr>
      </w:pPr>
      <w:r w:rsidRPr="00733CFC">
        <w:rPr>
          <w:rFonts w:ascii="Calibri" w:hAnsi="Calibri" w:cs="Calibri"/>
        </w:rPr>
        <w:t>Δy = Δ ln(sL / sK)</w:t>
      </w:r>
    </w:p>
    <w:p w14:paraId="31504AF9"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Construction of the regressor. </w:t>
      </w:r>
      <w:r w:rsidRPr="00733CFC">
        <w:rPr>
          <w:rFonts w:ascii="Calibri" w:hAnsi="Calibri" w:cs="Calibri"/>
        </w:rPr>
        <w:t>Capital-services growth is already provided in percentage terms and can be treated as approximately equal to Δln(K). Hours growth must instead be computed from levels:</w:t>
      </w:r>
    </w:p>
    <w:p w14:paraId="7058ED0C" w14:textId="77777777" w:rsidR="00BB344D" w:rsidRPr="00733CFC" w:rsidRDefault="00000000" w:rsidP="00A10F48">
      <w:pPr>
        <w:spacing w:after="0" w:line="240" w:lineRule="auto"/>
        <w:rPr>
          <w:rFonts w:ascii="Calibri" w:hAnsi="Calibri" w:cs="Calibri"/>
        </w:rPr>
      </w:pPr>
      <w:r w:rsidRPr="00733CFC">
        <w:rPr>
          <w:rFonts w:ascii="Calibri" w:hAnsi="Calibri" w:cs="Calibri"/>
        </w:rPr>
        <w:t>gK ≈ capital services growth</w:t>
      </w:r>
    </w:p>
    <w:p w14:paraId="1E8AE736" w14:textId="77777777" w:rsidR="00BB344D" w:rsidRPr="00733CFC" w:rsidRDefault="00000000" w:rsidP="00A10F48">
      <w:pPr>
        <w:spacing w:after="0" w:line="240" w:lineRule="auto"/>
        <w:rPr>
          <w:rFonts w:ascii="Calibri" w:hAnsi="Calibri" w:cs="Calibri"/>
        </w:rPr>
      </w:pPr>
      <w:r w:rsidRPr="00733CFC">
        <w:rPr>
          <w:rFonts w:ascii="Calibri" w:hAnsi="Calibri" w:cs="Calibri"/>
        </w:rPr>
        <w:t>gH = Δ ln(HRSTO)</w:t>
      </w:r>
    </w:p>
    <w:p w14:paraId="51D4D437" w14:textId="77777777" w:rsidR="00BB344D" w:rsidRPr="00733CFC" w:rsidRDefault="00000000" w:rsidP="00A10F48">
      <w:pPr>
        <w:spacing w:after="0" w:line="240" w:lineRule="auto"/>
        <w:rPr>
          <w:rFonts w:ascii="Calibri" w:hAnsi="Calibri" w:cs="Calibri"/>
        </w:rPr>
      </w:pPr>
      <w:r w:rsidRPr="00733CFC">
        <w:rPr>
          <w:rFonts w:ascii="Calibri" w:hAnsi="Calibri" w:cs="Calibri"/>
        </w:rPr>
        <w:t>Δx = gK − gH</w:t>
      </w:r>
    </w:p>
    <w:p w14:paraId="6CDE1466"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Regression. </w:t>
      </w:r>
      <w:r w:rsidRPr="00733CFC">
        <w:rPr>
          <w:rFonts w:ascii="Calibri" w:hAnsi="Calibri" w:cs="Calibri"/>
        </w:rPr>
        <w:t>The preferred panel equation is:</w:t>
      </w:r>
    </w:p>
    <w:p w14:paraId="1EC185C4" w14:textId="77777777" w:rsidR="00BB344D" w:rsidRPr="00733CFC" w:rsidRDefault="00000000" w:rsidP="00A10F48">
      <w:pPr>
        <w:spacing w:after="0" w:line="240" w:lineRule="auto"/>
        <w:rPr>
          <w:rFonts w:ascii="Calibri" w:hAnsi="Calibri" w:cs="Calibri"/>
        </w:rPr>
      </w:pPr>
      <w:r w:rsidRPr="00733CFC">
        <w:rPr>
          <w:rFonts w:ascii="Calibri" w:hAnsi="Calibri" w:cs="Calibri"/>
        </w:rPr>
        <w:t>Δy_ct = α_c + γ_t + β1 Δx_ct + u_ct</w:t>
      </w:r>
    </w:p>
    <w:p w14:paraId="01357BA9"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Fixed effects. </w:t>
      </w:r>
      <w:r w:rsidRPr="00733CFC">
        <w:rPr>
          <w:rFonts w:ascii="Calibri" w:hAnsi="Calibri" w:cs="Calibri"/>
        </w:rPr>
        <w:t>Country fixed effects absorb persistent structural differences across G7 economies. Time fixed effects absorb common global shocks, such as crises or commodity-price movements.</w:t>
      </w:r>
    </w:p>
    <w:p w14:paraId="7BD5B27F"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Charts. </w:t>
      </w:r>
      <w:r w:rsidRPr="00733CFC">
        <w:rPr>
          <w:rFonts w:ascii="Calibri" w:hAnsi="Calibri" w:cs="Calibri"/>
        </w:rPr>
        <w:t>A useful descriptive chart is a time-series scatter for one country at a time, or for at most a few benchmark countries, with X = Δx and Y = Δy. This is not a substitute for panel regression, but it is useful for visual intuition.</w:t>
      </w:r>
    </w:p>
    <w:p w14:paraId="502DA381" w14:textId="77777777" w:rsidR="00BB344D" w:rsidRPr="00733CFC" w:rsidRDefault="00000000" w:rsidP="00A10F48">
      <w:pPr>
        <w:pStyle w:val="Heading2"/>
        <w:spacing w:line="240" w:lineRule="auto"/>
        <w:rPr>
          <w:rFonts w:ascii="Calibri" w:hAnsi="Calibri" w:cs="Calibri"/>
        </w:rPr>
      </w:pPr>
      <w:r w:rsidRPr="00733CFC">
        <w:rPr>
          <w:rFonts w:ascii="Calibri" w:hAnsi="Calibri" w:cs="Calibri"/>
        </w:rPr>
        <w:t>5.3 Model 3: Sectoral growth panel (OECD, G7 economies, economic activity)</w:t>
      </w:r>
    </w:p>
    <w:p w14:paraId="01E66A80"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Scope. </w:t>
      </w:r>
      <w:r w:rsidRPr="00733CFC">
        <w:rPr>
          <w:rFonts w:ascii="Calibri" w:hAnsi="Calibri" w:cs="Calibri"/>
        </w:rPr>
        <w:t>The sectoral model extends the OECD dynamic framework to economic activities. Because sectoral labour shares are not available from AMECO in ready-to-use form, the sectoral model must be built using OECD only.</w:t>
      </w:r>
    </w:p>
    <w:p w14:paraId="7F9073C8"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Construction. </w:t>
      </w:r>
      <w:r w:rsidRPr="00733CFC">
        <w:rPr>
          <w:rFonts w:ascii="Calibri" w:hAnsi="Calibri" w:cs="Calibri"/>
        </w:rPr>
        <w:t>For each country-sector-year observation, construct the labour share and the capital-intensity-growth regressor exactly as in the non-sectoral growth model:</w:t>
      </w:r>
    </w:p>
    <w:p w14:paraId="63B6C434" w14:textId="77777777" w:rsidR="00BB344D" w:rsidRPr="00733CFC" w:rsidRDefault="00000000" w:rsidP="00A10F48">
      <w:pPr>
        <w:spacing w:after="0" w:line="240" w:lineRule="auto"/>
        <w:rPr>
          <w:rFonts w:ascii="Calibri" w:hAnsi="Calibri" w:cs="Calibri"/>
        </w:rPr>
      </w:pPr>
      <w:r w:rsidRPr="00733CFC">
        <w:rPr>
          <w:rFonts w:ascii="Calibri" w:hAnsi="Calibri" w:cs="Calibri"/>
        </w:rPr>
        <w:t>sL = LC / GVA</w:t>
      </w:r>
    </w:p>
    <w:p w14:paraId="7591FC18" w14:textId="77777777" w:rsidR="00BB344D" w:rsidRPr="00733CFC" w:rsidRDefault="00000000" w:rsidP="00A10F48">
      <w:pPr>
        <w:spacing w:after="0" w:line="240" w:lineRule="auto"/>
        <w:rPr>
          <w:rFonts w:ascii="Calibri" w:hAnsi="Calibri" w:cs="Calibri"/>
        </w:rPr>
      </w:pPr>
      <w:r w:rsidRPr="00733CFC">
        <w:rPr>
          <w:rFonts w:ascii="Calibri" w:hAnsi="Calibri" w:cs="Calibri"/>
        </w:rPr>
        <w:t>sK = 1 − sL</w:t>
      </w:r>
    </w:p>
    <w:p w14:paraId="7C81128F" w14:textId="77777777" w:rsidR="00BB344D" w:rsidRPr="00733CFC" w:rsidRDefault="00000000" w:rsidP="00A10F48">
      <w:pPr>
        <w:spacing w:after="0" w:line="240" w:lineRule="auto"/>
        <w:rPr>
          <w:rFonts w:ascii="Calibri" w:hAnsi="Calibri" w:cs="Calibri"/>
        </w:rPr>
      </w:pPr>
      <w:r w:rsidRPr="00733CFC">
        <w:rPr>
          <w:rFonts w:ascii="Calibri" w:hAnsi="Calibri" w:cs="Calibri"/>
        </w:rPr>
        <w:t>y = ln(sL / sK)</w:t>
      </w:r>
    </w:p>
    <w:p w14:paraId="7EB2033D" w14:textId="77777777" w:rsidR="00BB344D" w:rsidRPr="00733CFC" w:rsidRDefault="00000000" w:rsidP="00A10F48">
      <w:pPr>
        <w:spacing w:after="0" w:line="240" w:lineRule="auto"/>
        <w:rPr>
          <w:rFonts w:ascii="Calibri" w:hAnsi="Calibri" w:cs="Calibri"/>
        </w:rPr>
      </w:pPr>
      <w:r w:rsidRPr="00733CFC">
        <w:rPr>
          <w:rFonts w:ascii="Calibri" w:hAnsi="Calibri" w:cs="Calibri"/>
        </w:rPr>
        <w:t>Δy = Δ ln(sL / sK)</w:t>
      </w:r>
    </w:p>
    <w:p w14:paraId="0E332EC7" w14:textId="77777777" w:rsidR="00BB344D" w:rsidRPr="00733CFC" w:rsidRDefault="00000000" w:rsidP="00A10F48">
      <w:pPr>
        <w:spacing w:after="0" w:line="240" w:lineRule="auto"/>
        <w:rPr>
          <w:rFonts w:ascii="Calibri" w:hAnsi="Calibri" w:cs="Calibri"/>
        </w:rPr>
      </w:pPr>
      <w:r w:rsidRPr="00733CFC">
        <w:rPr>
          <w:rFonts w:ascii="Calibri" w:hAnsi="Calibri" w:cs="Calibri"/>
        </w:rPr>
        <w:t>Δx = gK − gH</w:t>
      </w:r>
    </w:p>
    <w:p w14:paraId="5C964642" w14:textId="77777777" w:rsidR="00BB344D" w:rsidRPr="00733CFC" w:rsidRDefault="00000000" w:rsidP="00A10F48">
      <w:pPr>
        <w:spacing w:after="0" w:line="240" w:lineRule="auto"/>
        <w:rPr>
          <w:rFonts w:ascii="Calibri" w:hAnsi="Calibri" w:cs="Calibri"/>
        </w:rPr>
      </w:pPr>
      <w:r w:rsidRPr="00733CFC">
        <w:rPr>
          <w:rFonts w:ascii="Calibri" w:hAnsi="Calibri" w:cs="Calibri"/>
          <w:b/>
        </w:rPr>
        <w:lastRenderedPageBreak/>
        <w:t xml:space="preserve">Panel structure. </w:t>
      </w:r>
      <w:r w:rsidRPr="00733CFC">
        <w:rPr>
          <w:rFonts w:ascii="Calibri" w:hAnsi="Calibri" w:cs="Calibri"/>
        </w:rPr>
        <w:t>The sectoral specification should not be estimated country by country unless the sample is tiny and used only for descriptive robustness. The correct main design is a full country-sector-time panel:</w:t>
      </w:r>
    </w:p>
    <w:p w14:paraId="0C123423" w14:textId="77777777" w:rsidR="00BB344D" w:rsidRPr="00733CFC" w:rsidRDefault="00000000" w:rsidP="00A10F48">
      <w:pPr>
        <w:spacing w:after="0" w:line="240" w:lineRule="auto"/>
        <w:rPr>
          <w:rFonts w:ascii="Calibri" w:hAnsi="Calibri" w:cs="Calibri"/>
        </w:rPr>
      </w:pPr>
      <w:r w:rsidRPr="00733CFC">
        <w:rPr>
          <w:rFonts w:ascii="Calibri" w:hAnsi="Calibri" w:cs="Calibri"/>
        </w:rPr>
        <w:t>Δy_cst = α_cs + γ_t + β1 Δx_cst + u_cst</w:t>
      </w:r>
    </w:p>
    <w:p w14:paraId="3166D43E"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Why the full panel is preferred. </w:t>
      </w:r>
      <w:r w:rsidRPr="00733CFC">
        <w:rPr>
          <w:rFonts w:ascii="Calibri" w:hAnsi="Calibri" w:cs="Calibri"/>
        </w:rPr>
        <w:t>Estimating country by country would severely reduce variation and statistical power. The full panel keeps the time dimension, the country dimension, and the industry dimension simultaneously.</w:t>
      </w:r>
    </w:p>
    <w:p w14:paraId="74FD26A2" w14:textId="53FA032D" w:rsidR="00A10F48" w:rsidRDefault="00000000" w:rsidP="009278C4">
      <w:pPr>
        <w:spacing w:after="0" w:line="240" w:lineRule="auto"/>
        <w:rPr>
          <w:rFonts w:ascii="Calibri" w:hAnsi="Calibri" w:cs="Calibri"/>
        </w:rPr>
      </w:pPr>
      <w:r w:rsidRPr="00733CFC">
        <w:rPr>
          <w:rFonts w:ascii="Calibri" w:hAnsi="Calibri" w:cs="Calibri"/>
          <w:b/>
        </w:rPr>
        <w:t xml:space="preserve">Sector choice. </w:t>
      </w:r>
      <w:r w:rsidRPr="00733CFC">
        <w:rPr>
          <w:rFonts w:ascii="Calibri" w:hAnsi="Calibri" w:cs="Calibri"/>
        </w:rPr>
        <w:t>The discussion established that the service aggregate is too broad to be fully informative, but arbitrary cherry-picking of a few service subsectors is undesirable. The preferred solution is therefore to include all available market-relevant service activities that are consistently measured in the OECD database, and to treat the sectoral model as an extension rather than as the only model.</w:t>
      </w:r>
    </w:p>
    <w:p w14:paraId="1CC97925" w14:textId="77777777" w:rsidR="009278C4" w:rsidRPr="00733CFC" w:rsidRDefault="009278C4" w:rsidP="009278C4">
      <w:pPr>
        <w:spacing w:after="0" w:line="240" w:lineRule="auto"/>
        <w:rPr>
          <w:rFonts w:ascii="Calibri" w:hAnsi="Calibri" w:cs="Calibri"/>
        </w:rPr>
      </w:pPr>
    </w:p>
    <w:p w14:paraId="1C1D2531" w14:textId="7E43400D" w:rsidR="00BB344D" w:rsidRPr="00733CFC" w:rsidRDefault="00000000" w:rsidP="00A10F48">
      <w:pPr>
        <w:pStyle w:val="Heading1"/>
        <w:spacing w:before="0" w:line="240" w:lineRule="auto"/>
        <w:rPr>
          <w:rFonts w:ascii="Calibri" w:hAnsi="Calibri" w:cs="Calibri"/>
        </w:rPr>
      </w:pPr>
      <w:r w:rsidRPr="00733CFC">
        <w:rPr>
          <w:rFonts w:ascii="Calibri" w:hAnsi="Calibri" w:cs="Calibri"/>
        </w:rPr>
        <w:t>6. Identification strategy and main caveats</w:t>
      </w:r>
    </w:p>
    <w:p w14:paraId="25288D4A"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Identification. </w:t>
      </w:r>
      <w:r w:rsidRPr="00733CFC">
        <w:rPr>
          <w:rFonts w:ascii="Calibri" w:hAnsi="Calibri" w:cs="Calibri"/>
        </w:rPr>
        <w:t>The project relies on three distinct sources of variation. The level model uses cross-country differences in capital intensity across advanced economies. The non-sectoral growth model uses within-country time variation across G7 economies. The sectoral model adds within-country, between-industry variation. The purpose of the three-model structure is precisely to avoid over-reliance on any one source of identification.</w:t>
      </w:r>
    </w:p>
    <w:p w14:paraId="1FC1041C" w14:textId="77777777" w:rsidR="00BB344D" w:rsidRPr="00733CFC" w:rsidRDefault="00000000" w:rsidP="00A10F48">
      <w:pPr>
        <w:pStyle w:val="ListBullet"/>
        <w:spacing w:after="0" w:line="240" w:lineRule="auto"/>
        <w:rPr>
          <w:rFonts w:ascii="Calibri" w:hAnsi="Calibri" w:cs="Calibri"/>
        </w:rPr>
      </w:pPr>
      <w:r w:rsidRPr="00733CFC">
        <w:rPr>
          <w:rFonts w:ascii="Calibri" w:hAnsi="Calibri" w:cs="Calibri"/>
        </w:rPr>
        <w:t>Capital stock vs capital services. The level model uses AMECO net capital stock, whereas the dynamic models use OECD capital services. This is conceptually imperfect but data-driven and explicitly acknowledged.</w:t>
      </w:r>
    </w:p>
    <w:p w14:paraId="4AC770CD" w14:textId="77777777" w:rsidR="00BB344D" w:rsidRPr="00733CFC" w:rsidRDefault="00000000" w:rsidP="00A10F48">
      <w:pPr>
        <w:pStyle w:val="ListBullet"/>
        <w:spacing w:after="0" w:line="240" w:lineRule="auto"/>
        <w:rPr>
          <w:rFonts w:ascii="Calibri" w:hAnsi="Calibri" w:cs="Calibri"/>
        </w:rPr>
      </w:pPr>
      <w:r w:rsidRPr="00733CFC">
        <w:rPr>
          <w:rFonts w:ascii="Calibri" w:hAnsi="Calibri" w:cs="Calibri"/>
        </w:rPr>
        <w:t>GDP at factor cost vs GVA at basic prices. The level model is theoretically cleaner because the denominator is GDP at factor cost. The OECD models rely on GVA at basic prices, which still contains net production taxes.</w:t>
      </w:r>
    </w:p>
    <w:p w14:paraId="603F3F03" w14:textId="77777777" w:rsidR="00BB344D" w:rsidRPr="00733CFC" w:rsidRDefault="00000000" w:rsidP="00A10F48">
      <w:pPr>
        <w:pStyle w:val="ListBullet"/>
        <w:spacing w:after="0" w:line="240" w:lineRule="auto"/>
        <w:rPr>
          <w:rFonts w:ascii="Calibri" w:hAnsi="Calibri" w:cs="Calibri"/>
        </w:rPr>
      </w:pPr>
      <w:r w:rsidRPr="00733CFC">
        <w:rPr>
          <w:rFonts w:ascii="Calibri" w:hAnsi="Calibri" w:cs="Calibri"/>
        </w:rPr>
        <w:t>Self-employed adjustment. Both AMECO and OECD rely on imputation. The usual assumption is that self-employed workers receive the same average labour remuneration as employees. This may be rough in sectors with highly atypical self-employment.</w:t>
      </w:r>
    </w:p>
    <w:p w14:paraId="75614E6C" w14:textId="77777777" w:rsidR="00BB344D" w:rsidRPr="00733CFC" w:rsidRDefault="00000000" w:rsidP="00A10F48">
      <w:pPr>
        <w:pStyle w:val="ListBullet"/>
        <w:spacing w:after="0" w:line="240" w:lineRule="auto"/>
        <w:rPr>
          <w:rFonts w:ascii="Calibri" w:hAnsi="Calibri" w:cs="Calibri"/>
        </w:rPr>
      </w:pPr>
      <w:r w:rsidRPr="00733CFC">
        <w:rPr>
          <w:rFonts w:ascii="Calibri" w:hAnsi="Calibri" w:cs="Calibri"/>
        </w:rPr>
        <w:t>Measurement error in sectoral data. Sectoral labour compensation, GVA, and hours-worked data are more fragile than aggregate data.</w:t>
      </w:r>
    </w:p>
    <w:p w14:paraId="310A7A80" w14:textId="77777777" w:rsidR="00BB344D" w:rsidRPr="00733CFC" w:rsidRDefault="00000000" w:rsidP="00A10F48">
      <w:pPr>
        <w:pStyle w:val="ListBullet"/>
        <w:spacing w:after="0" w:line="240" w:lineRule="auto"/>
        <w:rPr>
          <w:rFonts w:ascii="Calibri" w:hAnsi="Calibri" w:cs="Calibri"/>
        </w:rPr>
      </w:pPr>
      <w:r w:rsidRPr="00733CFC">
        <w:rPr>
          <w:rFonts w:ascii="Calibri" w:hAnsi="Calibri" w:cs="Calibri"/>
        </w:rPr>
        <w:t>Endogeneity. Capital intensity may respond to expected shifts in factor shares, not only the other way around. The project is primarily an empirical estimation exercise, not a full causal identification design.</w:t>
      </w:r>
    </w:p>
    <w:p w14:paraId="49EB46AE" w14:textId="6D73F14C" w:rsidR="009278C4" w:rsidRDefault="00000000" w:rsidP="00A10F48">
      <w:pPr>
        <w:pStyle w:val="ListBullet"/>
        <w:spacing w:after="0" w:line="240" w:lineRule="auto"/>
        <w:rPr>
          <w:rFonts w:ascii="Calibri" w:hAnsi="Calibri" w:cs="Calibri"/>
        </w:rPr>
      </w:pPr>
      <w:r w:rsidRPr="00733CFC">
        <w:rPr>
          <w:rFonts w:ascii="Calibri" w:hAnsi="Calibri" w:cs="Calibri"/>
        </w:rPr>
        <w:t>Currency comparability. OECD growth models avoid the problem because growth rates are effectively unit-free. This is the main reason the OECD models are formulated in dynamic rather than level form.</w:t>
      </w:r>
    </w:p>
    <w:p w14:paraId="66BB2F3F" w14:textId="77777777" w:rsidR="009278C4" w:rsidRPr="009278C4" w:rsidRDefault="009278C4" w:rsidP="009278C4">
      <w:pPr>
        <w:pStyle w:val="ListBullet"/>
        <w:numPr>
          <w:ilvl w:val="0"/>
          <w:numId w:val="0"/>
        </w:numPr>
        <w:spacing w:after="0" w:line="240" w:lineRule="auto"/>
        <w:ind w:left="360"/>
        <w:rPr>
          <w:rFonts w:ascii="Calibri" w:hAnsi="Calibri" w:cs="Calibri"/>
        </w:rPr>
      </w:pPr>
    </w:p>
    <w:p w14:paraId="76057DA4" w14:textId="3137EF7C" w:rsidR="00BB344D" w:rsidRPr="00733CFC" w:rsidRDefault="00000000" w:rsidP="00A10F48">
      <w:pPr>
        <w:pStyle w:val="Heading1"/>
        <w:spacing w:before="0" w:line="240" w:lineRule="auto"/>
        <w:rPr>
          <w:rFonts w:ascii="Calibri" w:hAnsi="Calibri" w:cs="Calibri"/>
        </w:rPr>
      </w:pPr>
      <w:r w:rsidRPr="00733CFC">
        <w:rPr>
          <w:rFonts w:ascii="Calibri" w:hAnsi="Calibri" w:cs="Calibri"/>
        </w:rPr>
        <w:t>7. CSV structure and data handling</w:t>
      </w:r>
    </w:p>
    <w:p w14:paraId="4BB20313"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General rule. </w:t>
      </w:r>
      <w:r w:rsidRPr="00733CFC">
        <w:rPr>
          <w:rFonts w:ascii="Calibri" w:hAnsi="Calibri" w:cs="Calibri"/>
        </w:rPr>
        <w:t>Both the level and growth datasets should be stored in long format. Each row should represent one observation, i.e. one country-year pair in the aggregate models and one country-sector-year triple in the sectoral model. This is the correct format for Python-based cleaning, graphing, and panel estimation.</w:t>
      </w:r>
    </w:p>
    <w:p w14:paraId="072CCB8B"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Level CSV. </w:t>
      </w:r>
      <w:r w:rsidRPr="00733CFC">
        <w:rPr>
          <w:rFonts w:ascii="Calibri" w:hAnsi="Calibri" w:cs="Calibri"/>
        </w:rPr>
        <w:t>Recommended columns: country, country_code, year, labour_share_alcd2, capital_stock_oknd, hours_nlht.</w:t>
      </w:r>
    </w:p>
    <w:p w14:paraId="4130FEC4" w14:textId="78393111" w:rsidR="00A10F48" w:rsidRDefault="00000000" w:rsidP="009278C4">
      <w:pPr>
        <w:spacing w:after="0" w:line="240" w:lineRule="auto"/>
        <w:rPr>
          <w:rFonts w:ascii="Calibri" w:hAnsi="Calibri" w:cs="Calibri"/>
        </w:rPr>
      </w:pPr>
      <w:r w:rsidRPr="00733CFC">
        <w:rPr>
          <w:rFonts w:ascii="Calibri" w:hAnsi="Calibri" w:cs="Calibri"/>
          <w:b/>
        </w:rPr>
        <w:t xml:space="preserve">Growth CSV. </w:t>
      </w:r>
      <w:r w:rsidRPr="00733CFC">
        <w:rPr>
          <w:rFonts w:ascii="Calibri" w:hAnsi="Calibri" w:cs="Calibri"/>
        </w:rPr>
        <w:t>Recommended columns: country, country_code, year, labour_compensation_lc, gva, capital_services_growth_kser, hours_hrsto. For the sectoral version add economic_activity and economic_activity_code.</w:t>
      </w:r>
    </w:p>
    <w:p w14:paraId="6AF4178A" w14:textId="77777777" w:rsidR="009278C4" w:rsidRPr="00733CFC" w:rsidRDefault="009278C4" w:rsidP="009278C4">
      <w:pPr>
        <w:spacing w:after="0" w:line="240" w:lineRule="auto"/>
        <w:rPr>
          <w:rFonts w:ascii="Calibri" w:hAnsi="Calibri" w:cs="Calibri"/>
        </w:rPr>
      </w:pPr>
    </w:p>
    <w:p w14:paraId="1A4C266F" w14:textId="55A54ABC" w:rsidR="00BB344D" w:rsidRPr="00733CFC" w:rsidRDefault="00000000" w:rsidP="00A10F48">
      <w:pPr>
        <w:pStyle w:val="Heading1"/>
        <w:spacing w:before="0" w:line="240" w:lineRule="auto"/>
        <w:rPr>
          <w:rFonts w:ascii="Calibri" w:hAnsi="Calibri" w:cs="Calibri"/>
        </w:rPr>
      </w:pPr>
      <w:r w:rsidRPr="00733CFC">
        <w:rPr>
          <w:rFonts w:ascii="Calibri" w:hAnsi="Calibri" w:cs="Calibri"/>
        </w:rPr>
        <w:t>8. Python workflow: correlations, charts, and regressions</w:t>
      </w:r>
    </w:p>
    <w:p w14:paraId="766B212D"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Principle. </w:t>
      </w:r>
      <w:r w:rsidRPr="00733CFC">
        <w:rPr>
          <w:rFonts w:ascii="Calibri" w:hAnsi="Calibri" w:cs="Calibri"/>
        </w:rPr>
        <w:t>All transformations should be performed in Python rather than split between Excel and Python. This avoids duplicated logic, inconsistent formulas, and spreadsheet noise. The raw files should remain as close as possible to source data; all constructed variables should be generated programmatically.</w:t>
      </w:r>
    </w:p>
    <w:p w14:paraId="394795BB" w14:textId="17DD6031" w:rsidR="00BB344D" w:rsidRPr="00733CFC" w:rsidRDefault="00000000" w:rsidP="00043A37">
      <w:pPr>
        <w:spacing w:after="0" w:line="240" w:lineRule="auto"/>
        <w:rPr>
          <w:rFonts w:ascii="Calibri" w:hAnsi="Calibri" w:cs="Calibri"/>
        </w:rPr>
      </w:pPr>
      <w:r w:rsidRPr="00733CFC">
        <w:rPr>
          <w:rFonts w:ascii="Calibri" w:hAnsi="Calibri" w:cs="Calibri"/>
        </w:rPr>
        <w:br/>
      </w:r>
    </w:p>
    <w:p w14:paraId="0A47FFCD" w14:textId="77777777" w:rsidR="00BB344D" w:rsidRPr="00733CFC" w:rsidRDefault="00000000" w:rsidP="00A10F48">
      <w:pPr>
        <w:pStyle w:val="Heading2"/>
        <w:spacing w:line="240" w:lineRule="auto"/>
        <w:rPr>
          <w:rFonts w:ascii="Calibri" w:hAnsi="Calibri" w:cs="Calibri"/>
        </w:rPr>
      </w:pPr>
      <w:r w:rsidRPr="00733CFC">
        <w:rPr>
          <w:rFonts w:ascii="Calibri" w:hAnsi="Calibri" w:cs="Calibri"/>
        </w:rPr>
        <w:lastRenderedPageBreak/>
        <w:t>8.5 Notes on coding choices</w:t>
      </w:r>
    </w:p>
    <w:p w14:paraId="072D1F49"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Percent growth and log growth. </w:t>
      </w:r>
      <w:r w:rsidRPr="00733CFC">
        <w:rPr>
          <w:rFonts w:ascii="Calibri" w:hAnsi="Calibri" w:cs="Calibri"/>
        </w:rPr>
        <w:t>Capital-services growth provided by OECD in percentage terms can be treated as approximately equal to Δln(K) for the purposes of this project, especially at moderate annual growth rates. Hours growth, by contrast, should be computed exactly as a log difference from level data.</w:t>
      </w:r>
    </w:p>
    <w:p w14:paraId="6915F5C1"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Correlations. </w:t>
      </w:r>
      <w:r w:rsidRPr="00733CFC">
        <w:rPr>
          <w:rFonts w:ascii="Calibri" w:hAnsi="Calibri" w:cs="Calibri"/>
        </w:rPr>
        <w:t>Correlations are included for all three models as descriptive diagnostics, not as substitutes for regression analysis. They are useful to verify sign consistency before estimation.</w:t>
      </w:r>
    </w:p>
    <w:p w14:paraId="564F6055" w14:textId="2B12533D" w:rsidR="00A10F48" w:rsidRDefault="00000000" w:rsidP="009278C4">
      <w:pPr>
        <w:spacing w:after="0" w:line="240" w:lineRule="auto"/>
        <w:rPr>
          <w:rFonts w:ascii="Calibri" w:hAnsi="Calibri" w:cs="Calibri"/>
        </w:rPr>
      </w:pPr>
      <w:r w:rsidRPr="00733CFC">
        <w:rPr>
          <w:rFonts w:ascii="Calibri" w:hAnsi="Calibri" w:cs="Calibri"/>
          <w:b/>
        </w:rPr>
        <w:t xml:space="preserve">Fixed effects. </w:t>
      </w:r>
      <w:r w:rsidRPr="00733CFC">
        <w:rPr>
          <w:rFonts w:ascii="Calibri" w:hAnsi="Calibri" w:cs="Calibri"/>
        </w:rPr>
        <w:t>For the non-sectoral growth model, country and year fixed effects are sufficient. For the sectoral model, country-sector fixed effects plus year fixed effects are more appropriate.</w:t>
      </w:r>
    </w:p>
    <w:p w14:paraId="76355E8C" w14:textId="77777777" w:rsidR="009278C4" w:rsidRPr="00733CFC" w:rsidRDefault="009278C4" w:rsidP="009278C4">
      <w:pPr>
        <w:spacing w:after="0" w:line="240" w:lineRule="auto"/>
        <w:rPr>
          <w:rFonts w:ascii="Calibri" w:hAnsi="Calibri" w:cs="Calibri"/>
        </w:rPr>
      </w:pPr>
    </w:p>
    <w:p w14:paraId="3301AA8D" w14:textId="72B2F434" w:rsidR="00BB344D" w:rsidRPr="00733CFC" w:rsidRDefault="00000000" w:rsidP="00A10F48">
      <w:pPr>
        <w:pStyle w:val="Heading1"/>
        <w:spacing w:before="0" w:line="240" w:lineRule="auto"/>
        <w:rPr>
          <w:rFonts w:ascii="Calibri" w:hAnsi="Calibri" w:cs="Calibri"/>
        </w:rPr>
      </w:pPr>
      <w:r w:rsidRPr="00733CFC">
        <w:rPr>
          <w:rFonts w:ascii="Calibri" w:hAnsi="Calibri" w:cs="Calibri"/>
        </w:rPr>
        <w:t>9. Final recommended design</w:t>
      </w:r>
    </w:p>
    <w:p w14:paraId="61F8AE86" w14:textId="77777777" w:rsidR="00BB344D" w:rsidRPr="00733CFC" w:rsidRDefault="00000000" w:rsidP="00A10F48">
      <w:pPr>
        <w:spacing w:after="0" w:line="240" w:lineRule="auto"/>
        <w:rPr>
          <w:rFonts w:ascii="Calibri" w:hAnsi="Calibri" w:cs="Calibri"/>
        </w:rPr>
      </w:pPr>
      <w:r w:rsidRPr="00733CFC">
        <w:rPr>
          <w:rFonts w:ascii="Calibri" w:hAnsi="Calibri" w:cs="Calibri"/>
          <w:b/>
        </w:rPr>
        <w:t xml:space="preserve">Final recommendation. </w:t>
      </w:r>
      <w:r w:rsidRPr="00733CFC">
        <w:rPr>
          <w:rFonts w:ascii="Calibri" w:hAnsi="Calibri" w:cs="Calibri"/>
        </w:rPr>
        <w:t>Use AMECO for the cross-country level model over OECD advanced economies. Use OECD for the non-sectoral and sectoral growth models over G7 economies. Compute all transformations in Python. Use the level model as the clean theoretical benchmark, the aggregate growth model as the main dynamic check, and the sectoral growth model as the extension that brings richer heterogeneity into the analysis.</w:t>
      </w:r>
    </w:p>
    <w:sectPr w:rsidR="00BB344D" w:rsidRPr="00733CFC" w:rsidSect="00733CFC">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503886">
    <w:abstractNumId w:val="8"/>
  </w:num>
  <w:num w:numId="2" w16cid:durableId="1691494570">
    <w:abstractNumId w:val="6"/>
  </w:num>
  <w:num w:numId="3" w16cid:durableId="306907375">
    <w:abstractNumId w:val="5"/>
  </w:num>
  <w:num w:numId="4" w16cid:durableId="32511418">
    <w:abstractNumId w:val="4"/>
  </w:num>
  <w:num w:numId="5" w16cid:durableId="1340548515">
    <w:abstractNumId w:val="7"/>
  </w:num>
  <w:num w:numId="6" w16cid:durableId="2063167142">
    <w:abstractNumId w:val="3"/>
  </w:num>
  <w:num w:numId="7" w16cid:durableId="1704935967">
    <w:abstractNumId w:val="2"/>
  </w:num>
  <w:num w:numId="8" w16cid:durableId="664942417">
    <w:abstractNumId w:val="1"/>
  </w:num>
  <w:num w:numId="9" w16cid:durableId="1674070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A37"/>
    <w:rsid w:val="0006063C"/>
    <w:rsid w:val="0015074B"/>
    <w:rsid w:val="0029639D"/>
    <w:rsid w:val="002A4E32"/>
    <w:rsid w:val="00326F90"/>
    <w:rsid w:val="003636F8"/>
    <w:rsid w:val="00541842"/>
    <w:rsid w:val="005E2104"/>
    <w:rsid w:val="00733CFC"/>
    <w:rsid w:val="0077566F"/>
    <w:rsid w:val="007F102C"/>
    <w:rsid w:val="0088661C"/>
    <w:rsid w:val="009278C4"/>
    <w:rsid w:val="00961DDB"/>
    <w:rsid w:val="009829C5"/>
    <w:rsid w:val="00A10F48"/>
    <w:rsid w:val="00AA1D8D"/>
    <w:rsid w:val="00B47730"/>
    <w:rsid w:val="00BB344D"/>
    <w:rsid w:val="00CB0664"/>
    <w:rsid w:val="00CF750B"/>
    <w:rsid w:val="00EB5CA3"/>
    <w:rsid w:val="00F168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98FA6"/>
  <w14:defaultImageDpi w14:val="300"/>
  <w15:docId w15:val="{06A5FFB7-4D68-6F4F-A353-38FCCD877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2529</Words>
  <Characters>14417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Lorenzo Mazzolli</cp:lastModifiedBy>
  <cp:revision>8</cp:revision>
  <dcterms:created xsi:type="dcterms:W3CDTF">2026-04-13T17:24:00Z</dcterms:created>
  <dcterms:modified xsi:type="dcterms:W3CDTF">2026-04-19T15:38:00Z</dcterms:modified>
  <cp:category/>
</cp:coreProperties>
</file>