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9A3A9" w14:textId="476691E2" w:rsid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19"/>
          <w:szCs w:val="19"/>
        </w:rPr>
      </w:pPr>
      <w:r>
        <w:fldChar w:fldCharType="begin"/>
      </w:r>
      <w:r>
        <w:instrText xml:space="preserve"> HYPERLINK "https://www.bjs.gov/developer/ncvs/householdFields.cfm" </w:instrText>
      </w:r>
      <w:r>
        <w:fldChar w:fldCharType="separate"/>
      </w:r>
      <w:r>
        <w:rPr>
          <w:rStyle w:val="Hyperlink"/>
        </w:rPr>
        <w:t>https://www.bjs.gov/developer/ncvs/householdFields.cfm</w:t>
      </w:r>
      <w:r>
        <w:fldChar w:fldCharType="end"/>
      </w:r>
    </w:p>
    <w:p w14:paraId="48A2D1CF" w14:textId="77777777" w:rsid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19"/>
          <w:szCs w:val="19"/>
        </w:rPr>
      </w:pPr>
    </w:p>
    <w:p w14:paraId="5349EA1C" w14:textId="0DD8939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19"/>
          <w:szCs w:val="19"/>
        </w:rPr>
      </w:pPr>
      <w:r w:rsidRPr="00E225A8">
        <w:rPr>
          <w:rFonts w:ascii="Verdana" w:eastAsia="Times New Roman" w:hAnsi="Verdana" w:cs="Times New Roman"/>
          <w:b/>
          <w:bCs/>
          <w:color w:val="000000"/>
          <w:sz w:val="19"/>
          <w:szCs w:val="19"/>
        </w:rPr>
        <w:t>Household victimization variable descriptions</w:t>
      </w:r>
    </w:p>
    <w:p w14:paraId="55A722EB" w14:textId="77777777" w:rsidR="00E225A8" w:rsidRPr="00E225A8" w:rsidRDefault="00E225A8" w:rsidP="00E225A8">
      <w:pPr>
        <w:spacing w:after="0" w:line="240" w:lineRule="auto"/>
        <w:outlineLvl w:val="2"/>
        <w:rPr>
          <w:rFonts w:ascii="Verdana" w:eastAsia="Times New Roman" w:hAnsi="Verdana" w:cs="Times New Roman"/>
          <w:b/>
          <w:bCs/>
          <w:color w:val="000000"/>
          <w:sz w:val="19"/>
          <w:szCs w:val="19"/>
        </w:rPr>
      </w:pPr>
      <w:r w:rsidRPr="00E225A8">
        <w:rPr>
          <w:rFonts w:ascii="Verdana" w:eastAsia="Times New Roman" w:hAnsi="Verdana" w:cs="Times New Roman"/>
          <w:b/>
          <w:bCs/>
          <w:color w:val="000000"/>
          <w:sz w:val="19"/>
          <w:szCs w:val="19"/>
        </w:rPr>
        <w:t>Table of contents</w:t>
      </w:r>
    </w:p>
    <w:p w14:paraId="07F36226"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5" w:anchor="newcrime" w:history="1">
        <w:r w:rsidRPr="00E225A8">
          <w:rPr>
            <w:rFonts w:ascii="Verdana" w:eastAsia="Times New Roman" w:hAnsi="Verdana" w:cs="Times New Roman"/>
            <w:color w:val="7799BC"/>
            <w:sz w:val="19"/>
            <w:szCs w:val="19"/>
            <w:u w:val="single"/>
          </w:rPr>
          <w:t>Aggregate type of crime</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newcrime</w:t>
      </w:r>
      <w:proofErr w:type="spellEnd"/>
      <w:r w:rsidRPr="00E225A8">
        <w:rPr>
          <w:rFonts w:ascii="Verdana" w:eastAsia="Times New Roman" w:hAnsi="Verdana" w:cs="Times New Roman"/>
          <w:color w:val="000000"/>
          <w:sz w:val="19"/>
          <w:szCs w:val="19"/>
        </w:rPr>
        <w:t>)</w:t>
      </w:r>
    </w:p>
    <w:p w14:paraId="1F08F7F1"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6" w:anchor="hhage" w:history="1">
        <w:r w:rsidRPr="00E225A8">
          <w:rPr>
            <w:rFonts w:ascii="Verdana" w:eastAsia="Times New Roman" w:hAnsi="Verdana" w:cs="Times New Roman"/>
            <w:color w:val="7799BC"/>
            <w:sz w:val="19"/>
            <w:szCs w:val="19"/>
            <w:u w:val="single"/>
          </w:rPr>
          <w:t>Head of household age</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hhage</w:t>
      </w:r>
      <w:proofErr w:type="spellEnd"/>
      <w:r w:rsidRPr="00E225A8">
        <w:rPr>
          <w:rFonts w:ascii="Verdana" w:eastAsia="Times New Roman" w:hAnsi="Verdana" w:cs="Times New Roman"/>
          <w:color w:val="000000"/>
          <w:sz w:val="19"/>
          <w:szCs w:val="19"/>
        </w:rPr>
        <w:t>)</w:t>
      </w:r>
    </w:p>
    <w:p w14:paraId="361C8B81"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7" w:anchor="hhhisp" w:history="1">
        <w:r w:rsidRPr="00E225A8">
          <w:rPr>
            <w:rFonts w:ascii="Verdana" w:eastAsia="Times New Roman" w:hAnsi="Verdana" w:cs="Times New Roman"/>
            <w:color w:val="7799BC"/>
            <w:sz w:val="19"/>
            <w:szCs w:val="19"/>
            <w:u w:val="single"/>
          </w:rPr>
          <w:t>Hispanic origin of head of household</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hhhisp</w:t>
      </w:r>
      <w:proofErr w:type="spellEnd"/>
      <w:r w:rsidRPr="00E225A8">
        <w:rPr>
          <w:rFonts w:ascii="Verdana" w:eastAsia="Times New Roman" w:hAnsi="Verdana" w:cs="Times New Roman"/>
          <w:color w:val="000000"/>
          <w:sz w:val="19"/>
          <w:szCs w:val="19"/>
        </w:rPr>
        <w:t>)</w:t>
      </w:r>
    </w:p>
    <w:p w14:paraId="00209B20"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8" w:anchor="hincome" w:history="1">
        <w:r w:rsidRPr="00E225A8">
          <w:rPr>
            <w:rFonts w:ascii="Verdana" w:eastAsia="Times New Roman" w:hAnsi="Verdana" w:cs="Times New Roman"/>
            <w:color w:val="7799BC"/>
            <w:sz w:val="19"/>
            <w:szCs w:val="19"/>
            <w:u w:val="single"/>
          </w:rPr>
          <w:t>Household income</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hincome</w:t>
      </w:r>
      <w:proofErr w:type="spellEnd"/>
      <w:r w:rsidRPr="00E225A8">
        <w:rPr>
          <w:rFonts w:ascii="Verdana" w:eastAsia="Times New Roman" w:hAnsi="Verdana" w:cs="Times New Roman"/>
          <w:color w:val="000000"/>
          <w:sz w:val="19"/>
          <w:szCs w:val="19"/>
        </w:rPr>
        <w:t>)</w:t>
      </w:r>
    </w:p>
    <w:p w14:paraId="7DEBC422"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9" w:anchor="hnumber" w:history="1">
        <w:r w:rsidRPr="00E225A8">
          <w:rPr>
            <w:rFonts w:ascii="Verdana" w:eastAsia="Times New Roman" w:hAnsi="Verdana" w:cs="Times New Roman"/>
            <w:color w:val="7799BC"/>
            <w:sz w:val="19"/>
            <w:szCs w:val="19"/>
            <w:u w:val="single"/>
          </w:rPr>
          <w:t>Household size</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hnumber</w:t>
      </w:r>
      <w:proofErr w:type="spellEnd"/>
      <w:r w:rsidRPr="00E225A8">
        <w:rPr>
          <w:rFonts w:ascii="Verdana" w:eastAsia="Times New Roman" w:hAnsi="Verdana" w:cs="Times New Roman"/>
          <w:color w:val="000000"/>
          <w:sz w:val="19"/>
          <w:szCs w:val="19"/>
        </w:rPr>
        <w:t>)</w:t>
      </w:r>
    </w:p>
    <w:p w14:paraId="58D03E51"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0" w:anchor="locationr" w:history="1">
        <w:r w:rsidRPr="00E225A8">
          <w:rPr>
            <w:rFonts w:ascii="Verdana" w:eastAsia="Times New Roman" w:hAnsi="Verdana" w:cs="Times New Roman"/>
            <w:color w:val="7799BC"/>
            <w:sz w:val="19"/>
            <w:szCs w:val="19"/>
            <w:u w:val="single"/>
          </w:rPr>
          <w:t>Location of incident</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locationr</w:t>
      </w:r>
      <w:proofErr w:type="spellEnd"/>
      <w:r w:rsidRPr="00E225A8">
        <w:rPr>
          <w:rFonts w:ascii="Verdana" w:eastAsia="Times New Roman" w:hAnsi="Verdana" w:cs="Times New Roman"/>
          <w:color w:val="000000"/>
          <w:sz w:val="19"/>
          <w:szCs w:val="19"/>
        </w:rPr>
        <w:t>)</w:t>
      </w:r>
    </w:p>
    <w:p w14:paraId="47F39C4A"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1" w:anchor="msa" w:history="1">
        <w:r w:rsidRPr="00E225A8">
          <w:rPr>
            <w:rFonts w:ascii="Verdana" w:eastAsia="Times New Roman" w:hAnsi="Verdana" w:cs="Times New Roman"/>
            <w:color w:val="7799BC"/>
            <w:sz w:val="19"/>
            <w:szCs w:val="19"/>
            <w:u w:val="single"/>
          </w:rPr>
          <w:t>Location of residence</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msa</w:t>
      </w:r>
      <w:proofErr w:type="spellEnd"/>
      <w:r w:rsidRPr="00E225A8">
        <w:rPr>
          <w:rFonts w:ascii="Verdana" w:eastAsia="Times New Roman" w:hAnsi="Verdana" w:cs="Times New Roman"/>
          <w:color w:val="000000"/>
          <w:sz w:val="19"/>
          <w:szCs w:val="19"/>
        </w:rPr>
        <w:t>)</w:t>
      </w:r>
    </w:p>
    <w:p w14:paraId="67BFAE2E"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2" w:anchor="popsize" w:history="1">
        <w:r w:rsidRPr="00E225A8">
          <w:rPr>
            <w:rFonts w:ascii="Verdana" w:eastAsia="Times New Roman" w:hAnsi="Verdana" w:cs="Times New Roman"/>
            <w:color w:val="7799BC"/>
            <w:sz w:val="19"/>
            <w:szCs w:val="19"/>
            <w:u w:val="single"/>
          </w:rPr>
          <w:t>Population size</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popsize</w:t>
      </w:r>
      <w:proofErr w:type="spellEnd"/>
      <w:r w:rsidRPr="00E225A8">
        <w:rPr>
          <w:rFonts w:ascii="Verdana" w:eastAsia="Times New Roman" w:hAnsi="Verdana" w:cs="Times New Roman"/>
          <w:color w:val="000000"/>
          <w:sz w:val="19"/>
          <w:szCs w:val="19"/>
        </w:rPr>
        <w:t>)</w:t>
      </w:r>
    </w:p>
    <w:p w14:paraId="3F89F8BF"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3" w:anchor="hhrace1R" w:history="1">
        <w:r w:rsidRPr="00E225A8">
          <w:rPr>
            <w:rFonts w:ascii="Verdana" w:eastAsia="Times New Roman" w:hAnsi="Verdana" w:cs="Times New Roman"/>
            <w:color w:val="7799BC"/>
            <w:sz w:val="19"/>
            <w:szCs w:val="19"/>
            <w:u w:val="single"/>
          </w:rPr>
          <w:t>Race of head of household</w:t>
        </w:r>
      </w:hyperlink>
      <w:r w:rsidRPr="00E225A8">
        <w:rPr>
          <w:rFonts w:ascii="Verdana" w:eastAsia="Times New Roman" w:hAnsi="Verdana" w:cs="Times New Roman"/>
          <w:color w:val="000000"/>
          <w:sz w:val="19"/>
          <w:szCs w:val="19"/>
        </w:rPr>
        <w:t> (hhrace1R)</w:t>
      </w:r>
    </w:p>
    <w:p w14:paraId="2B188FA7"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4" w:anchor="hheth1R" w:history="1">
        <w:r w:rsidRPr="00E225A8">
          <w:rPr>
            <w:rFonts w:ascii="Verdana" w:eastAsia="Times New Roman" w:hAnsi="Verdana" w:cs="Times New Roman"/>
            <w:color w:val="7799BC"/>
            <w:sz w:val="19"/>
            <w:szCs w:val="19"/>
            <w:u w:val="single"/>
          </w:rPr>
          <w:t>Race/Hispanic origin of head of household</w:t>
        </w:r>
      </w:hyperlink>
      <w:r w:rsidRPr="00E225A8">
        <w:rPr>
          <w:rFonts w:ascii="Verdana" w:eastAsia="Times New Roman" w:hAnsi="Verdana" w:cs="Times New Roman"/>
          <w:color w:val="000000"/>
          <w:sz w:val="19"/>
          <w:szCs w:val="19"/>
        </w:rPr>
        <w:t> (hheth1R)</w:t>
      </w:r>
    </w:p>
    <w:p w14:paraId="684BD275"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5" w:anchor="region" w:history="1">
        <w:r w:rsidRPr="00E225A8">
          <w:rPr>
            <w:rFonts w:ascii="Verdana" w:eastAsia="Times New Roman" w:hAnsi="Verdana" w:cs="Times New Roman"/>
            <w:color w:val="7799BC"/>
            <w:sz w:val="19"/>
            <w:szCs w:val="19"/>
            <w:u w:val="single"/>
          </w:rPr>
          <w:t>Region</w:t>
        </w:r>
      </w:hyperlink>
      <w:r w:rsidRPr="00E225A8">
        <w:rPr>
          <w:rFonts w:ascii="Verdana" w:eastAsia="Times New Roman" w:hAnsi="Verdana" w:cs="Times New Roman"/>
          <w:color w:val="000000"/>
          <w:sz w:val="19"/>
          <w:szCs w:val="19"/>
        </w:rPr>
        <w:t> (region)</w:t>
      </w:r>
    </w:p>
    <w:p w14:paraId="3FD5B5B6"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6" w:anchor="notify" w:history="1">
        <w:r w:rsidRPr="00E225A8">
          <w:rPr>
            <w:rFonts w:ascii="Verdana" w:eastAsia="Times New Roman" w:hAnsi="Verdana" w:cs="Times New Roman"/>
            <w:color w:val="7799BC"/>
            <w:sz w:val="19"/>
            <w:szCs w:val="19"/>
            <w:u w:val="single"/>
          </w:rPr>
          <w:t>Reporting to the police</w:t>
        </w:r>
      </w:hyperlink>
      <w:r w:rsidRPr="00E225A8">
        <w:rPr>
          <w:rFonts w:ascii="Verdana" w:eastAsia="Times New Roman" w:hAnsi="Verdana" w:cs="Times New Roman"/>
          <w:color w:val="000000"/>
          <w:sz w:val="19"/>
          <w:szCs w:val="19"/>
        </w:rPr>
        <w:t> (notify)</w:t>
      </w:r>
    </w:p>
    <w:p w14:paraId="04A8CD7B"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7" w:anchor="hhgen" w:history="1">
        <w:r w:rsidRPr="00E225A8">
          <w:rPr>
            <w:rFonts w:ascii="Verdana" w:eastAsia="Times New Roman" w:hAnsi="Verdana" w:cs="Times New Roman"/>
            <w:color w:val="7799BC"/>
            <w:sz w:val="19"/>
            <w:szCs w:val="19"/>
            <w:u w:val="single"/>
          </w:rPr>
          <w:t>Sex of head of household</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hhgen</w:t>
      </w:r>
      <w:proofErr w:type="spellEnd"/>
      <w:r w:rsidRPr="00E225A8">
        <w:rPr>
          <w:rFonts w:ascii="Verdana" w:eastAsia="Times New Roman" w:hAnsi="Verdana" w:cs="Times New Roman"/>
          <w:color w:val="000000"/>
          <w:sz w:val="19"/>
          <w:szCs w:val="19"/>
        </w:rPr>
        <w:t>)</w:t>
      </w:r>
    </w:p>
    <w:p w14:paraId="5ADF8A4D"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8" w:anchor="newoff" w:history="1">
        <w:r w:rsidRPr="00E225A8">
          <w:rPr>
            <w:rFonts w:ascii="Verdana" w:eastAsia="Times New Roman" w:hAnsi="Verdana" w:cs="Times New Roman"/>
            <w:color w:val="7799BC"/>
            <w:sz w:val="19"/>
            <w:szCs w:val="19"/>
            <w:u w:val="single"/>
          </w:rPr>
          <w:t>Type of crime</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newoff</w:t>
      </w:r>
      <w:proofErr w:type="spellEnd"/>
      <w:r w:rsidRPr="00E225A8">
        <w:rPr>
          <w:rFonts w:ascii="Verdana" w:eastAsia="Times New Roman" w:hAnsi="Verdana" w:cs="Times New Roman"/>
          <w:color w:val="000000"/>
          <w:sz w:val="19"/>
          <w:szCs w:val="19"/>
        </w:rPr>
        <w:t>)</w:t>
      </w:r>
    </w:p>
    <w:p w14:paraId="4CC982AA"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9" w:anchor="vicservices" w:history="1">
        <w:r w:rsidRPr="00E225A8">
          <w:rPr>
            <w:rFonts w:ascii="Verdana" w:eastAsia="Times New Roman" w:hAnsi="Verdana" w:cs="Times New Roman"/>
            <w:color w:val="7799BC"/>
            <w:sz w:val="19"/>
            <w:szCs w:val="19"/>
            <w:u w:val="single"/>
          </w:rPr>
          <w:t>Victim services</w:t>
        </w:r>
      </w:hyperlink>
      <w:r w:rsidRPr="00E225A8">
        <w:rPr>
          <w:rFonts w:ascii="Verdana" w:eastAsia="Times New Roman" w:hAnsi="Verdana" w:cs="Times New Roman"/>
          <w:color w:val="000000"/>
          <w:sz w:val="19"/>
          <w:szCs w:val="19"/>
        </w:rPr>
        <w:t> (</w:t>
      </w:r>
      <w:proofErr w:type="spellStart"/>
      <w:r w:rsidRPr="00E225A8">
        <w:rPr>
          <w:rFonts w:ascii="Verdana" w:eastAsia="Times New Roman" w:hAnsi="Verdana" w:cs="Times New Roman"/>
          <w:color w:val="000000"/>
          <w:sz w:val="19"/>
          <w:szCs w:val="19"/>
        </w:rPr>
        <w:t>vicservices</w:t>
      </w:r>
      <w:proofErr w:type="spellEnd"/>
      <w:r w:rsidRPr="00E225A8">
        <w:rPr>
          <w:rFonts w:ascii="Verdana" w:eastAsia="Times New Roman" w:hAnsi="Verdana" w:cs="Times New Roman"/>
          <w:color w:val="000000"/>
          <w:sz w:val="19"/>
          <w:szCs w:val="19"/>
        </w:rPr>
        <w:t>)</w:t>
      </w:r>
    </w:p>
    <w:p w14:paraId="69A693AA"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20" w:anchor="weight" w:history="1">
        <w:r w:rsidRPr="00E225A8">
          <w:rPr>
            <w:rFonts w:ascii="Verdana" w:eastAsia="Times New Roman" w:hAnsi="Verdana" w:cs="Times New Roman"/>
            <w:color w:val="7799BC"/>
            <w:sz w:val="19"/>
            <w:szCs w:val="19"/>
            <w:u w:val="single"/>
          </w:rPr>
          <w:t>Weight</w:t>
        </w:r>
      </w:hyperlink>
      <w:r w:rsidRPr="00E225A8">
        <w:rPr>
          <w:rFonts w:ascii="Verdana" w:eastAsia="Times New Roman" w:hAnsi="Verdana" w:cs="Times New Roman"/>
          <w:color w:val="000000"/>
          <w:sz w:val="19"/>
          <w:szCs w:val="19"/>
        </w:rPr>
        <w:t> (weight)</w:t>
      </w:r>
    </w:p>
    <w:p w14:paraId="367BCDC8" w14:textId="77777777" w:rsidR="00E225A8" w:rsidRPr="00E225A8" w:rsidRDefault="00E225A8" w:rsidP="00E225A8">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21" w:anchor="year" w:history="1">
        <w:r w:rsidRPr="00E225A8">
          <w:rPr>
            <w:rFonts w:ascii="Verdana" w:eastAsia="Times New Roman" w:hAnsi="Verdana" w:cs="Times New Roman"/>
            <w:color w:val="7799BC"/>
            <w:sz w:val="19"/>
            <w:szCs w:val="19"/>
            <w:u w:val="single"/>
          </w:rPr>
          <w:t>Year</w:t>
        </w:r>
      </w:hyperlink>
      <w:r w:rsidRPr="00E225A8">
        <w:rPr>
          <w:rFonts w:ascii="Verdana" w:eastAsia="Times New Roman" w:hAnsi="Verdana" w:cs="Times New Roman"/>
          <w:color w:val="000000"/>
          <w:sz w:val="19"/>
          <w:szCs w:val="19"/>
        </w:rPr>
        <w:t> (year)</w:t>
      </w:r>
    </w:p>
    <w:p w14:paraId="46923025"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75E440C6">
          <v:rect id="_x0000_i1025" style="width:0;height:1.5pt" o:hralign="center" o:hrstd="t" o:hr="t" fillcolor="#a0a0a0" stroked="f"/>
        </w:pict>
      </w:r>
    </w:p>
    <w:p w14:paraId="714DE803"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54CA9C7F"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22" w:anchor="top" w:history="1">
        <w:r w:rsidRPr="00E225A8">
          <w:rPr>
            <w:rFonts w:ascii="Verdana" w:eastAsia="Times New Roman" w:hAnsi="Verdana" w:cs="Times New Roman"/>
            <w:color w:val="7799BC"/>
            <w:sz w:val="19"/>
            <w:szCs w:val="19"/>
            <w:u w:val="single"/>
          </w:rPr>
          <w:t>top</w:t>
        </w:r>
      </w:hyperlink>
    </w:p>
    <w:p w14:paraId="7BE29311"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Aggregate type of crime (</w:t>
      </w:r>
      <w:proofErr w:type="spellStart"/>
      <w:r w:rsidRPr="00E225A8">
        <w:rPr>
          <w:rFonts w:ascii="Verdana" w:eastAsia="Times New Roman" w:hAnsi="Verdana" w:cs="Times New Roman"/>
          <w:b/>
          <w:bCs/>
          <w:color w:val="000000"/>
          <w:sz w:val="24"/>
          <w:szCs w:val="24"/>
        </w:rPr>
        <w:t>newcrime</w:t>
      </w:r>
      <w:proofErr w:type="spellEnd"/>
      <w:r w:rsidRPr="00E225A8">
        <w:rPr>
          <w:rFonts w:ascii="Verdana" w:eastAsia="Times New Roman" w:hAnsi="Verdana" w:cs="Times New Roman"/>
          <w:b/>
          <w:bCs/>
          <w:color w:val="000000"/>
          <w:sz w:val="24"/>
          <w:szCs w:val="24"/>
        </w:rPr>
        <w:t>)</w:t>
      </w:r>
    </w:p>
    <w:p w14:paraId="3E30F8B3"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Household victimization includes all property victimization, burglary/trespassing, motor-vehicle theft, and theft. This category includes both attempted and completed crimes.</w:t>
      </w:r>
    </w:p>
    <w:p w14:paraId="77C1B8E0"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2A11233D" w14:textId="77777777" w:rsidTr="00E225A8">
        <w:tc>
          <w:tcPr>
            <w:tcW w:w="0" w:type="auto"/>
            <w:shd w:val="clear" w:color="auto" w:fill="2767AF"/>
            <w:vAlign w:val="center"/>
            <w:hideMark/>
          </w:tcPr>
          <w:p w14:paraId="5DDE5F03"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lastRenderedPageBreak/>
              <w:t>Value</w:t>
            </w:r>
          </w:p>
        </w:tc>
        <w:tc>
          <w:tcPr>
            <w:tcW w:w="0" w:type="auto"/>
            <w:shd w:val="clear" w:color="auto" w:fill="2767AF"/>
            <w:vAlign w:val="center"/>
            <w:hideMark/>
          </w:tcPr>
          <w:p w14:paraId="36EFD6D3"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1D5337F4" w14:textId="77777777" w:rsidTr="00E225A8">
        <w:trPr>
          <w:trHeight w:val="450"/>
        </w:trPr>
        <w:tc>
          <w:tcPr>
            <w:tcW w:w="1500" w:type="pct"/>
            <w:tcMar>
              <w:top w:w="75" w:type="dxa"/>
              <w:left w:w="75" w:type="dxa"/>
              <w:bottom w:w="75" w:type="dxa"/>
              <w:right w:w="75" w:type="dxa"/>
            </w:tcMar>
            <w:hideMark/>
          </w:tcPr>
          <w:p w14:paraId="6E8192A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tcMar>
              <w:top w:w="75" w:type="dxa"/>
              <w:left w:w="75" w:type="dxa"/>
              <w:bottom w:w="75" w:type="dxa"/>
              <w:right w:w="75" w:type="dxa"/>
            </w:tcMar>
            <w:hideMark/>
          </w:tcPr>
          <w:p w14:paraId="7BE50DE6"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Property victimization</w:t>
            </w:r>
          </w:p>
        </w:tc>
      </w:tr>
    </w:tbl>
    <w:p w14:paraId="1C9647CF"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5095D7AD">
          <v:rect id="_x0000_i1026" style="width:0;height:1.5pt" o:hralign="center" o:hrstd="t" o:hr="t" fillcolor="#a0a0a0" stroked="f"/>
        </w:pict>
      </w:r>
    </w:p>
    <w:p w14:paraId="4C4DA491"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59AF3CBF"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23" w:anchor="top" w:history="1">
        <w:r w:rsidRPr="00E225A8">
          <w:rPr>
            <w:rFonts w:ascii="Verdana" w:eastAsia="Times New Roman" w:hAnsi="Verdana" w:cs="Times New Roman"/>
            <w:color w:val="7799BC"/>
            <w:sz w:val="19"/>
            <w:szCs w:val="19"/>
            <w:u w:val="single"/>
          </w:rPr>
          <w:t>top</w:t>
        </w:r>
      </w:hyperlink>
    </w:p>
    <w:p w14:paraId="32BA3EB5"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Head of household age (</w:t>
      </w:r>
      <w:proofErr w:type="spellStart"/>
      <w:r w:rsidRPr="00E225A8">
        <w:rPr>
          <w:rFonts w:ascii="Verdana" w:eastAsia="Times New Roman" w:hAnsi="Verdana" w:cs="Times New Roman"/>
          <w:b/>
          <w:bCs/>
          <w:color w:val="000000"/>
          <w:sz w:val="24"/>
          <w:szCs w:val="24"/>
        </w:rPr>
        <w:t>hhage</w:t>
      </w:r>
      <w:proofErr w:type="spellEnd"/>
      <w:r w:rsidRPr="00E225A8">
        <w:rPr>
          <w:rFonts w:ascii="Verdana" w:eastAsia="Times New Roman" w:hAnsi="Verdana" w:cs="Times New Roman"/>
          <w:b/>
          <w:bCs/>
          <w:color w:val="000000"/>
          <w:sz w:val="24"/>
          <w:szCs w:val="24"/>
        </w:rPr>
        <w:t>)</w:t>
      </w:r>
    </w:p>
    <w:p w14:paraId="2E047EFF"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The respondent's age on the last day of the month before the interview. The NCVS collects information on household members age 12 or older. The age of the head of household is used for computing household crime demographics.</w:t>
      </w:r>
    </w:p>
    <w:p w14:paraId="7D88BCEC"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4B52C6B6" w14:textId="77777777" w:rsidTr="00E225A8">
        <w:tc>
          <w:tcPr>
            <w:tcW w:w="0" w:type="auto"/>
            <w:shd w:val="clear" w:color="auto" w:fill="2767AF"/>
            <w:vAlign w:val="center"/>
            <w:hideMark/>
          </w:tcPr>
          <w:p w14:paraId="01C4A419"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6FD7F805"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02896330" w14:textId="77777777" w:rsidTr="00E225A8">
        <w:trPr>
          <w:trHeight w:val="450"/>
        </w:trPr>
        <w:tc>
          <w:tcPr>
            <w:tcW w:w="1500" w:type="pct"/>
            <w:tcMar>
              <w:top w:w="75" w:type="dxa"/>
              <w:left w:w="75" w:type="dxa"/>
              <w:bottom w:w="75" w:type="dxa"/>
              <w:right w:w="75" w:type="dxa"/>
            </w:tcMar>
            <w:hideMark/>
          </w:tcPr>
          <w:p w14:paraId="419E1E71"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6A02A539"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19 or younger</w:t>
            </w:r>
          </w:p>
        </w:tc>
      </w:tr>
      <w:tr w:rsidR="00E225A8" w:rsidRPr="00E225A8" w14:paraId="1856633E" w14:textId="77777777" w:rsidTr="00E225A8">
        <w:trPr>
          <w:trHeight w:val="450"/>
        </w:trPr>
        <w:tc>
          <w:tcPr>
            <w:tcW w:w="1500" w:type="pct"/>
            <w:shd w:val="clear" w:color="auto" w:fill="F2F6F9"/>
            <w:tcMar>
              <w:top w:w="75" w:type="dxa"/>
              <w:left w:w="75" w:type="dxa"/>
              <w:bottom w:w="75" w:type="dxa"/>
              <w:right w:w="75" w:type="dxa"/>
            </w:tcMar>
            <w:hideMark/>
          </w:tcPr>
          <w:p w14:paraId="6BAED5F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2D545BE6"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20 to 34</w:t>
            </w:r>
          </w:p>
        </w:tc>
      </w:tr>
      <w:tr w:rsidR="00E225A8" w:rsidRPr="00E225A8" w14:paraId="77BEED46" w14:textId="77777777" w:rsidTr="00E225A8">
        <w:trPr>
          <w:trHeight w:val="450"/>
        </w:trPr>
        <w:tc>
          <w:tcPr>
            <w:tcW w:w="1500" w:type="pct"/>
            <w:tcMar>
              <w:top w:w="75" w:type="dxa"/>
              <w:left w:w="75" w:type="dxa"/>
              <w:bottom w:w="75" w:type="dxa"/>
              <w:right w:w="75" w:type="dxa"/>
            </w:tcMar>
            <w:hideMark/>
          </w:tcPr>
          <w:p w14:paraId="452A0F7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tcMar>
              <w:top w:w="75" w:type="dxa"/>
              <w:left w:w="75" w:type="dxa"/>
              <w:bottom w:w="75" w:type="dxa"/>
              <w:right w:w="75" w:type="dxa"/>
            </w:tcMar>
            <w:hideMark/>
          </w:tcPr>
          <w:p w14:paraId="799F850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35 to 49</w:t>
            </w:r>
          </w:p>
        </w:tc>
      </w:tr>
      <w:tr w:rsidR="00E225A8" w:rsidRPr="00E225A8" w14:paraId="6CB1BBB4" w14:textId="77777777" w:rsidTr="00E225A8">
        <w:trPr>
          <w:trHeight w:val="450"/>
        </w:trPr>
        <w:tc>
          <w:tcPr>
            <w:tcW w:w="1500" w:type="pct"/>
            <w:shd w:val="clear" w:color="auto" w:fill="F2F6F9"/>
            <w:tcMar>
              <w:top w:w="75" w:type="dxa"/>
              <w:left w:w="75" w:type="dxa"/>
              <w:bottom w:w="75" w:type="dxa"/>
              <w:right w:w="75" w:type="dxa"/>
            </w:tcMar>
            <w:hideMark/>
          </w:tcPr>
          <w:p w14:paraId="72A19C5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4</w:t>
            </w:r>
          </w:p>
        </w:tc>
        <w:tc>
          <w:tcPr>
            <w:tcW w:w="3500" w:type="pct"/>
            <w:shd w:val="clear" w:color="auto" w:fill="F2F6F9"/>
            <w:tcMar>
              <w:top w:w="75" w:type="dxa"/>
              <w:left w:w="75" w:type="dxa"/>
              <w:bottom w:w="75" w:type="dxa"/>
              <w:right w:w="75" w:type="dxa"/>
            </w:tcMar>
            <w:hideMark/>
          </w:tcPr>
          <w:p w14:paraId="3CF70CC5"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50 to 64</w:t>
            </w:r>
          </w:p>
        </w:tc>
      </w:tr>
      <w:tr w:rsidR="00E225A8" w:rsidRPr="00E225A8" w14:paraId="33FE2543" w14:textId="77777777" w:rsidTr="00E225A8">
        <w:trPr>
          <w:trHeight w:val="450"/>
        </w:trPr>
        <w:tc>
          <w:tcPr>
            <w:tcW w:w="1500" w:type="pct"/>
            <w:tcMar>
              <w:top w:w="75" w:type="dxa"/>
              <w:left w:w="75" w:type="dxa"/>
              <w:bottom w:w="75" w:type="dxa"/>
              <w:right w:w="75" w:type="dxa"/>
            </w:tcMar>
            <w:hideMark/>
          </w:tcPr>
          <w:p w14:paraId="797AD5E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5</w:t>
            </w:r>
          </w:p>
        </w:tc>
        <w:tc>
          <w:tcPr>
            <w:tcW w:w="3500" w:type="pct"/>
            <w:tcMar>
              <w:top w:w="75" w:type="dxa"/>
              <w:left w:w="75" w:type="dxa"/>
              <w:bottom w:w="75" w:type="dxa"/>
              <w:right w:w="75" w:type="dxa"/>
            </w:tcMar>
            <w:hideMark/>
          </w:tcPr>
          <w:p w14:paraId="786E213D"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65 or older</w:t>
            </w:r>
          </w:p>
        </w:tc>
      </w:tr>
    </w:tbl>
    <w:p w14:paraId="37E837CF"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1F7FE97B">
          <v:rect id="_x0000_i1027" style="width:0;height:1.5pt" o:hralign="center" o:hrstd="t" o:hr="t" fillcolor="#a0a0a0" stroked="f"/>
        </w:pict>
      </w:r>
    </w:p>
    <w:p w14:paraId="62B1CA14"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59A23EDA"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24" w:anchor="top" w:history="1">
        <w:r w:rsidRPr="00E225A8">
          <w:rPr>
            <w:rFonts w:ascii="Verdana" w:eastAsia="Times New Roman" w:hAnsi="Verdana" w:cs="Times New Roman"/>
            <w:color w:val="7799BC"/>
            <w:sz w:val="19"/>
            <w:szCs w:val="19"/>
            <w:u w:val="single"/>
          </w:rPr>
          <w:t>top</w:t>
        </w:r>
      </w:hyperlink>
    </w:p>
    <w:p w14:paraId="40520604"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lastRenderedPageBreak/>
        <w:t>Hispanic origin of head of household (</w:t>
      </w:r>
      <w:proofErr w:type="spellStart"/>
      <w:r w:rsidRPr="00E225A8">
        <w:rPr>
          <w:rFonts w:ascii="Verdana" w:eastAsia="Times New Roman" w:hAnsi="Verdana" w:cs="Times New Roman"/>
          <w:b/>
          <w:bCs/>
          <w:color w:val="000000"/>
          <w:sz w:val="24"/>
          <w:szCs w:val="24"/>
        </w:rPr>
        <w:t>hhhisp</w:t>
      </w:r>
      <w:proofErr w:type="spellEnd"/>
      <w:r w:rsidRPr="00E225A8">
        <w:rPr>
          <w:rFonts w:ascii="Verdana" w:eastAsia="Times New Roman" w:hAnsi="Verdana" w:cs="Times New Roman"/>
          <w:b/>
          <w:bCs/>
          <w:color w:val="000000"/>
          <w:sz w:val="24"/>
          <w:szCs w:val="24"/>
        </w:rPr>
        <w:t>)</w:t>
      </w:r>
    </w:p>
    <w:p w14:paraId="25BD929C"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The classification of the head of household based on Hispanic culture and origin, without considering race.</w:t>
      </w:r>
    </w:p>
    <w:p w14:paraId="74AE2543"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7FC82579" w14:textId="77777777" w:rsidTr="00E225A8">
        <w:tc>
          <w:tcPr>
            <w:tcW w:w="0" w:type="auto"/>
            <w:shd w:val="clear" w:color="auto" w:fill="2767AF"/>
            <w:vAlign w:val="center"/>
            <w:hideMark/>
          </w:tcPr>
          <w:p w14:paraId="57D87D30"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27479266"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2E67DFDF" w14:textId="77777777" w:rsidTr="00E225A8">
        <w:trPr>
          <w:trHeight w:val="450"/>
        </w:trPr>
        <w:tc>
          <w:tcPr>
            <w:tcW w:w="1500" w:type="pct"/>
            <w:tcMar>
              <w:top w:w="75" w:type="dxa"/>
              <w:left w:w="75" w:type="dxa"/>
              <w:bottom w:w="75" w:type="dxa"/>
              <w:right w:w="75" w:type="dxa"/>
            </w:tcMar>
            <w:hideMark/>
          </w:tcPr>
          <w:p w14:paraId="3C528BAB"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45C4EA9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Hispanic</w:t>
            </w:r>
          </w:p>
        </w:tc>
      </w:tr>
      <w:tr w:rsidR="00E225A8" w:rsidRPr="00E225A8" w14:paraId="076D02B1" w14:textId="77777777" w:rsidTr="00E225A8">
        <w:trPr>
          <w:trHeight w:val="450"/>
        </w:trPr>
        <w:tc>
          <w:tcPr>
            <w:tcW w:w="1500" w:type="pct"/>
            <w:shd w:val="clear" w:color="auto" w:fill="F2F6F9"/>
            <w:tcMar>
              <w:top w:w="75" w:type="dxa"/>
              <w:left w:w="75" w:type="dxa"/>
              <w:bottom w:w="75" w:type="dxa"/>
              <w:right w:w="75" w:type="dxa"/>
            </w:tcMar>
            <w:hideMark/>
          </w:tcPr>
          <w:p w14:paraId="6204390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570C2179"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Non-Hispanic</w:t>
            </w:r>
          </w:p>
        </w:tc>
      </w:tr>
    </w:tbl>
    <w:p w14:paraId="7C0CEAB5"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092CE12A">
          <v:rect id="_x0000_i1028" style="width:0;height:1.5pt" o:hralign="center" o:hrstd="t" o:hr="t" fillcolor="#a0a0a0" stroked="f"/>
        </w:pict>
      </w:r>
    </w:p>
    <w:p w14:paraId="16951A9E"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712AD26C"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25" w:anchor="top" w:history="1">
        <w:r w:rsidRPr="00E225A8">
          <w:rPr>
            <w:rFonts w:ascii="Verdana" w:eastAsia="Times New Roman" w:hAnsi="Verdana" w:cs="Times New Roman"/>
            <w:color w:val="7799BC"/>
            <w:sz w:val="19"/>
            <w:szCs w:val="19"/>
            <w:u w:val="single"/>
          </w:rPr>
          <w:t>top</w:t>
        </w:r>
      </w:hyperlink>
    </w:p>
    <w:p w14:paraId="12D76DD3"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Household income (</w:t>
      </w:r>
      <w:proofErr w:type="spellStart"/>
      <w:r w:rsidRPr="00E225A8">
        <w:rPr>
          <w:rFonts w:ascii="Verdana" w:eastAsia="Times New Roman" w:hAnsi="Verdana" w:cs="Times New Roman"/>
          <w:b/>
          <w:bCs/>
          <w:color w:val="000000"/>
          <w:sz w:val="24"/>
          <w:szCs w:val="24"/>
        </w:rPr>
        <w:t>hincome</w:t>
      </w:r>
      <w:proofErr w:type="spellEnd"/>
      <w:r w:rsidRPr="00E225A8">
        <w:rPr>
          <w:rFonts w:ascii="Verdana" w:eastAsia="Times New Roman" w:hAnsi="Verdana" w:cs="Times New Roman"/>
          <w:b/>
          <w:bCs/>
          <w:color w:val="000000"/>
          <w:sz w:val="24"/>
          <w:szCs w:val="24"/>
        </w:rPr>
        <w:t>)</w:t>
      </w:r>
    </w:p>
    <w:p w14:paraId="6D9D0367"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The total income of the household head and all members of the household for the 12 months preceding the interview. Includes wages, salaries, net income from businesses or farms, pensions, interest, dividends, rent, and any other form of monetary income.</w:t>
      </w:r>
    </w:p>
    <w:p w14:paraId="3B9878C2"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0CC7F2FB" w14:textId="77777777" w:rsidTr="00E225A8">
        <w:tc>
          <w:tcPr>
            <w:tcW w:w="0" w:type="auto"/>
            <w:shd w:val="clear" w:color="auto" w:fill="2767AF"/>
            <w:vAlign w:val="center"/>
            <w:hideMark/>
          </w:tcPr>
          <w:p w14:paraId="635D8B82"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16BDDCAF"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2E820716" w14:textId="77777777" w:rsidTr="00E225A8">
        <w:trPr>
          <w:trHeight w:val="450"/>
        </w:trPr>
        <w:tc>
          <w:tcPr>
            <w:tcW w:w="1500" w:type="pct"/>
            <w:tcMar>
              <w:top w:w="75" w:type="dxa"/>
              <w:left w:w="75" w:type="dxa"/>
              <w:bottom w:w="75" w:type="dxa"/>
              <w:right w:w="75" w:type="dxa"/>
            </w:tcMar>
            <w:hideMark/>
          </w:tcPr>
          <w:p w14:paraId="6DC12CA5"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26DAAF41"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Less than $7,500</w:t>
            </w:r>
          </w:p>
        </w:tc>
      </w:tr>
      <w:tr w:rsidR="00E225A8" w:rsidRPr="00E225A8" w14:paraId="48CAD029" w14:textId="77777777" w:rsidTr="00E225A8">
        <w:trPr>
          <w:trHeight w:val="450"/>
        </w:trPr>
        <w:tc>
          <w:tcPr>
            <w:tcW w:w="1500" w:type="pct"/>
            <w:shd w:val="clear" w:color="auto" w:fill="F2F6F9"/>
            <w:tcMar>
              <w:top w:w="75" w:type="dxa"/>
              <w:left w:w="75" w:type="dxa"/>
              <w:bottom w:w="75" w:type="dxa"/>
              <w:right w:w="75" w:type="dxa"/>
            </w:tcMar>
            <w:hideMark/>
          </w:tcPr>
          <w:p w14:paraId="4D56B2DB"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12184990"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$7,500 to $14,999</w:t>
            </w:r>
          </w:p>
        </w:tc>
      </w:tr>
      <w:tr w:rsidR="00E225A8" w:rsidRPr="00E225A8" w14:paraId="090924AC" w14:textId="77777777" w:rsidTr="00E225A8">
        <w:trPr>
          <w:trHeight w:val="450"/>
        </w:trPr>
        <w:tc>
          <w:tcPr>
            <w:tcW w:w="1500" w:type="pct"/>
            <w:tcMar>
              <w:top w:w="75" w:type="dxa"/>
              <w:left w:w="75" w:type="dxa"/>
              <w:bottom w:w="75" w:type="dxa"/>
              <w:right w:w="75" w:type="dxa"/>
            </w:tcMar>
            <w:hideMark/>
          </w:tcPr>
          <w:p w14:paraId="27A08D3D"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tcMar>
              <w:top w:w="75" w:type="dxa"/>
              <w:left w:w="75" w:type="dxa"/>
              <w:bottom w:w="75" w:type="dxa"/>
              <w:right w:w="75" w:type="dxa"/>
            </w:tcMar>
            <w:hideMark/>
          </w:tcPr>
          <w:p w14:paraId="5557168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$15,000 to $24,999</w:t>
            </w:r>
          </w:p>
        </w:tc>
      </w:tr>
      <w:tr w:rsidR="00E225A8" w:rsidRPr="00E225A8" w14:paraId="0D9CEEED" w14:textId="77777777" w:rsidTr="00E225A8">
        <w:trPr>
          <w:trHeight w:val="450"/>
        </w:trPr>
        <w:tc>
          <w:tcPr>
            <w:tcW w:w="1500" w:type="pct"/>
            <w:shd w:val="clear" w:color="auto" w:fill="F2F6F9"/>
            <w:tcMar>
              <w:top w:w="75" w:type="dxa"/>
              <w:left w:w="75" w:type="dxa"/>
              <w:bottom w:w="75" w:type="dxa"/>
              <w:right w:w="75" w:type="dxa"/>
            </w:tcMar>
            <w:hideMark/>
          </w:tcPr>
          <w:p w14:paraId="3ED0A138"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4</w:t>
            </w:r>
          </w:p>
        </w:tc>
        <w:tc>
          <w:tcPr>
            <w:tcW w:w="3500" w:type="pct"/>
            <w:shd w:val="clear" w:color="auto" w:fill="F2F6F9"/>
            <w:tcMar>
              <w:top w:w="75" w:type="dxa"/>
              <w:left w:w="75" w:type="dxa"/>
              <w:bottom w:w="75" w:type="dxa"/>
              <w:right w:w="75" w:type="dxa"/>
            </w:tcMar>
            <w:hideMark/>
          </w:tcPr>
          <w:p w14:paraId="64C5A6CD"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$25,000 to $34,999</w:t>
            </w:r>
          </w:p>
        </w:tc>
      </w:tr>
      <w:tr w:rsidR="00E225A8" w:rsidRPr="00E225A8" w14:paraId="4E8D34B4" w14:textId="77777777" w:rsidTr="00E225A8">
        <w:trPr>
          <w:trHeight w:val="450"/>
        </w:trPr>
        <w:tc>
          <w:tcPr>
            <w:tcW w:w="1500" w:type="pct"/>
            <w:tcMar>
              <w:top w:w="75" w:type="dxa"/>
              <w:left w:w="75" w:type="dxa"/>
              <w:bottom w:w="75" w:type="dxa"/>
              <w:right w:w="75" w:type="dxa"/>
            </w:tcMar>
            <w:hideMark/>
          </w:tcPr>
          <w:p w14:paraId="5886B58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lastRenderedPageBreak/>
              <w:t>5</w:t>
            </w:r>
          </w:p>
        </w:tc>
        <w:tc>
          <w:tcPr>
            <w:tcW w:w="3500" w:type="pct"/>
            <w:tcMar>
              <w:top w:w="75" w:type="dxa"/>
              <w:left w:w="75" w:type="dxa"/>
              <w:bottom w:w="75" w:type="dxa"/>
              <w:right w:w="75" w:type="dxa"/>
            </w:tcMar>
            <w:hideMark/>
          </w:tcPr>
          <w:p w14:paraId="42EE645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$35,000 to $49,999</w:t>
            </w:r>
          </w:p>
        </w:tc>
      </w:tr>
      <w:tr w:rsidR="00E225A8" w:rsidRPr="00E225A8" w14:paraId="00C44E2E" w14:textId="77777777" w:rsidTr="00E225A8">
        <w:trPr>
          <w:trHeight w:val="450"/>
        </w:trPr>
        <w:tc>
          <w:tcPr>
            <w:tcW w:w="1500" w:type="pct"/>
            <w:shd w:val="clear" w:color="auto" w:fill="F2F6F9"/>
            <w:tcMar>
              <w:top w:w="75" w:type="dxa"/>
              <w:left w:w="75" w:type="dxa"/>
              <w:bottom w:w="75" w:type="dxa"/>
              <w:right w:w="75" w:type="dxa"/>
            </w:tcMar>
            <w:hideMark/>
          </w:tcPr>
          <w:p w14:paraId="1A2BACF8"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6</w:t>
            </w:r>
          </w:p>
        </w:tc>
        <w:tc>
          <w:tcPr>
            <w:tcW w:w="3500" w:type="pct"/>
            <w:shd w:val="clear" w:color="auto" w:fill="F2F6F9"/>
            <w:tcMar>
              <w:top w:w="75" w:type="dxa"/>
              <w:left w:w="75" w:type="dxa"/>
              <w:bottom w:w="75" w:type="dxa"/>
              <w:right w:w="75" w:type="dxa"/>
            </w:tcMar>
            <w:hideMark/>
          </w:tcPr>
          <w:p w14:paraId="189755D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$50,000 to $74,999</w:t>
            </w:r>
          </w:p>
        </w:tc>
      </w:tr>
      <w:tr w:rsidR="00E225A8" w:rsidRPr="00E225A8" w14:paraId="78C427F0" w14:textId="77777777" w:rsidTr="00E225A8">
        <w:trPr>
          <w:trHeight w:val="450"/>
        </w:trPr>
        <w:tc>
          <w:tcPr>
            <w:tcW w:w="1500" w:type="pct"/>
            <w:tcMar>
              <w:top w:w="75" w:type="dxa"/>
              <w:left w:w="75" w:type="dxa"/>
              <w:bottom w:w="75" w:type="dxa"/>
              <w:right w:w="75" w:type="dxa"/>
            </w:tcMar>
            <w:hideMark/>
          </w:tcPr>
          <w:p w14:paraId="05F7FBFA"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7</w:t>
            </w:r>
          </w:p>
        </w:tc>
        <w:tc>
          <w:tcPr>
            <w:tcW w:w="3500" w:type="pct"/>
            <w:tcMar>
              <w:top w:w="75" w:type="dxa"/>
              <w:left w:w="75" w:type="dxa"/>
              <w:bottom w:w="75" w:type="dxa"/>
              <w:right w:w="75" w:type="dxa"/>
            </w:tcMar>
            <w:hideMark/>
          </w:tcPr>
          <w:p w14:paraId="158A6151"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$75,000 or more</w:t>
            </w:r>
          </w:p>
        </w:tc>
      </w:tr>
      <w:tr w:rsidR="00E225A8" w:rsidRPr="00E225A8" w14:paraId="6DE41ECB" w14:textId="77777777" w:rsidTr="00E225A8">
        <w:trPr>
          <w:trHeight w:val="450"/>
        </w:trPr>
        <w:tc>
          <w:tcPr>
            <w:tcW w:w="1500" w:type="pct"/>
            <w:shd w:val="clear" w:color="auto" w:fill="F2F6F9"/>
            <w:tcMar>
              <w:top w:w="75" w:type="dxa"/>
              <w:left w:w="75" w:type="dxa"/>
              <w:bottom w:w="75" w:type="dxa"/>
              <w:right w:w="75" w:type="dxa"/>
            </w:tcMar>
            <w:hideMark/>
          </w:tcPr>
          <w:p w14:paraId="183D160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88</w:t>
            </w:r>
          </w:p>
        </w:tc>
        <w:tc>
          <w:tcPr>
            <w:tcW w:w="3500" w:type="pct"/>
            <w:shd w:val="clear" w:color="auto" w:fill="F2F6F9"/>
            <w:tcMar>
              <w:top w:w="75" w:type="dxa"/>
              <w:left w:w="75" w:type="dxa"/>
              <w:bottom w:w="75" w:type="dxa"/>
              <w:right w:w="75" w:type="dxa"/>
            </w:tcMar>
            <w:hideMark/>
          </w:tcPr>
          <w:p w14:paraId="7A822576"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Unknown</w:t>
            </w:r>
          </w:p>
        </w:tc>
      </w:tr>
    </w:tbl>
    <w:p w14:paraId="637E468F"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19C6B4B1">
          <v:rect id="_x0000_i1029" style="width:0;height:1.5pt" o:hralign="center" o:hrstd="t" o:hr="t" fillcolor="#a0a0a0" stroked="f"/>
        </w:pict>
      </w:r>
    </w:p>
    <w:p w14:paraId="7E65BCAE"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20044C29"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26" w:anchor="top" w:history="1">
        <w:r w:rsidRPr="00E225A8">
          <w:rPr>
            <w:rFonts w:ascii="Verdana" w:eastAsia="Times New Roman" w:hAnsi="Verdana" w:cs="Times New Roman"/>
            <w:color w:val="7799BC"/>
            <w:sz w:val="19"/>
            <w:szCs w:val="19"/>
            <w:u w:val="single"/>
          </w:rPr>
          <w:t>top</w:t>
        </w:r>
      </w:hyperlink>
    </w:p>
    <w:p w14:paraId="5FEA7891"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Household size (</w:t>
      </w:r>
      <w:proofErr w:type="spellStart"/>
      <w:r w:rsidRPr="00E225A8">
        <w:rPr>
          <w:rFonts w:ascii="Verdana" w:eastAsia="Times New Roman" w:hAnsi="Verdana" w:cs="Times New Roman"/>
          <w:b/>
          <w:bCs/>
          <w:color w:val="000000"/>
          <w:sz w:val="24"/>
          <w:szCs w:val="24"/>
        </w:rPr>
        <w:t>hnumber</w:t>
      </w:r>
      <w:proofErr w:type="spellEnd"/>
      <w:r w:rsidRPr="00E225A8">
        <w:rPr>
          <w:rFonts w:ascii="Verdana" w:eastAsia="Times New Roman" w:hAnsi="Verdana" w:cs="Times New Roman"/>
          <w:b/>
          <w:bCs/>
          <w:color w:val="000000"/>
          <w:sz w:val="24"/>
          <w:szCs w:val="24"/>
        </w:rPr>
        <w:t>)</w:t>
      </w:r>
    </w:p>
    <w:p w14:paraId="41202AF1"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The total number of people residing in the household. This includes household members under the age of 12.</w:t>
      </w:r>
    </w:p>
    <w:p w14:paraId="0A1C3858"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64D017CA" w14:textId="77777777" w:rsidTr="00E225A8">
        <w:tc>
          <w:tcPr>
            <w:tcW w:w="0" w:type="auto"/>
            <w:shd w:val="clear" w:color="auto" w:fill="2767AF"/>
            <w:vAlign w:val="center"/>
            <w:hideMark/>
          </w:tcPr>
          <w:p w14:paraId="77AA44CF"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5A1EA5EB"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6053B10D" w14:textId="77777777" w:rsidTr="00E225A8">
        <w:trPr>
          <w:trHeight w:val="450"/>
        </w:trPr>
        <w:tc>
          <w:tcPr>
            <w:tcW w:w="1500" w:type="pct"/>
            <w:tcMar>
              <w:top w:w="75" w:type="dxa"/>
              <w:left w:w="75" w:type="dxa"/>
              <w:bottom w:w="75" w:type="dxa"/>
              <w:right w:w="75" w:type="dxa"/>
            </w:tcMar>
            <w:hideMark/>
          </w:tcPr>
          <w:p w14:paraId="1E2D7E0C"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524947C8"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One</w:t>
            </w:r>
          </w:p>
        </w:tc>
      </w:tr>
      <w:tr w:rsidR="00E225A8" w:rsidRPr="00E225A8" w14:paraId="2B554C01" w14:textId="77777777" w:rsidTr="00E225A8">
        <w:trPr>
          <w:trHeight w:val="450"/>
        </w:trPr>
        <w:tc>
          <w:tcPr>
            <w:tcW w:w="1500" w:type="pct"/>
            <w:shd w:val="clear" w:color="auto" w:fill="F2F6F9"/>
            <w:tcMar>
              <w:top w:w="75" w:type="dxa"/>
              <w:left w:w="75" w:type="dxa"/>
              <w:bottom w:w="75" w:type="dxa"/>
              <w:right w:w="75" w:type="dxa"/>
            </w:tcMar>
            <w:hideMark/>
          </w:tcPr>
          <w:p w14:paraId="05BC210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1D4CEE0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Two to three</w:t>
            </w:r>
          </w:p>
        </w:tc>
      </w:tr>
      <w:tr w:rsidR="00E225A8" w:rsidRPr="00E225A8" w14:paraId="071781F8" w14:textId="77777777" w:rsidTr="00E225A8">
        <w:trPr>
          <w:trHeight w:val="450"/>
        </w:trPr>
        <w:tc>
          <w:tcPr>
            <w:tcW w:w="1500" w:type="pct"/>
            <w:tcMar>
              <w:top w:w="75" w:type="dxa"/>
              <w:left w:w="75" w:type="dxa"/>
              <w:bottom w:w="75" w:type="dxa"/>
              <w:right w:w="75" w:type="dxa"/>
            </w:tcMar>
            <w:hideMark/>
          </w:tcPr>
          <w:p w14:paraId="02518FB2"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tcMar>
              <w:top w:w="75" w:type="dxa"/>
              <w:left w:w="75" w:type="dxa"/>
              <w:bottom w:w="75" w:type="dxa"/>
              <w:right w:w="75" w:type="dxa"/>
            </w:tcMar>
            <w:hideMark/>
          </w:tcPr>
          <w:p w14:paraId="0E023E2A"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Four to five</w:t>
            </w:r>
          </w:p>
        </w:tc>
      </w:tr>
      <w:tr w:rsidR="00E225A8" w:rsidRPr="00E225A8" w14:paraId="54B31834" w14:textId="77777777" w:rsidTr="00E225A8">
        <w:trPr>
          <w:trHeight w:val="450"/>
        </w:trPr>
        <w:tc>
          <w:tcPr>
            <w:tcW w:w="1500" w:type="pct"/>
            <w:shd w:val="clear" w:color="auto" w:fill="F2F6F9"/>
            <w:tcMar>
              <w:top w:w="75" w:type="dxa"/>
              <w:left w:w="75" w:type="dxa"/>
              <w:bottom w:w="75" w:type="dxa"/>
              <w:right w:w="75" w:type="dxa"/>
            </w:tcMar>
            <w:hideMark/>
          </w:tcPr>
          <w:p w14:paraId="2BE1ADC2"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4</w:t>
            </w:r>
          </w:p>
        </w:tc>
        <w:tc>
          <w:tcPr>
            <w:tcW w:w="3500" w:type="pct"/>
            <w:shd w:val="clear" w:color="auto" w:fill="F2F6F9"/>
            <w:tcMar>
              <w:top w:w="75" w:type="dxa"/>
              <w:left w:w="75" w:type="dxa"/>
              <w:bottom w:w="75" w:type="dxa"/>
              <w:right w:w="75" w:type="dxa"/>
            </w:tcMar>
            <w:hideMark/>
          </w:tcPr>
          <w:p w14:paraId="0BD3BAD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Six or more</w:t>
            </w:r>
          </w:p>
        </w:tc>
      </w:tr>
    </w:tbl>
    <w:p w14:paraId="75B45DC7"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770EB91F">
          <v:rect id="_x0000_i1030" style="width:0;height:1.5pt" o:hralign="center" o:hrstd="t" o:hr="t" fillcolor="#a0a0a0" stroked="f"/>
        </w:pict>
      </w:r>
    </w:p>
    <w:p w14:paraId="237E81CC"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4746352B"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27" w:anchor="top" w:history="1">
        <w:r w:rsidRPr="00E225A8">
          <w:rPr>
            <w:rFonts w:ascii="Verdana" w:eastAsia="Times New Roman" w:hAnsi="Verdana" w:cs="Times New Roman"/>
            <w:color w:val="7799BC"/>
            <w:sz w:val="19"/>
            <w:szCs w:val="19"/>
            <w:u w:val="single"/>
          </w:rPr>
          <w:t>top</w:t>
        </w:r>
      </w:hyperlink>
    </w:p>
    <w:p w14:paraId="6B728617"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Location of incident (</w:t>
      </w:r>
      <w:proofErr w:type="spellStart"/>
      <w:r w:rsidRPr="00E225A8">
        <w:rPr>
          <w:rFonts w:ascii="Verdana" w:eastAsia="Times New Roman" w:hAnsi="Verdana" w:cs="Times New Roman"/>
          <w:b/>
          <w:bCs/>
          <w:color w:val="000000"/>
          <w:sz w:val="24"/>
          <w:szCs w:val="24"/>
        </w:rPr>
        <w:t>locationr</w:t>
      </w:r>
      <w:proofErr w:type="spellEnd"/>
      <w:r w:rsidRPr="00E225A8">
        <w:rPr>
          <w:rFonts w:ascii="Verdana" w:eastAsia="Times New Roman" w:hAnsi="Verdana" w:cs="Times New Roman"/>
          <w:b/>
          <w:bCs/>
          <w:color w:val="000000"/>
          <w:sz w:val="24"/>
          <w:szCs w:val="24"/>
        </w:rPr>
        <w:t>)</w:t>
      </w:r>
    </w:p>
    <w:p w14:paraId="238F0789"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A measure of where the victimization occurred. This is asked of victims of both personal and household victimization. The locations include at or near the victim's home; at or near a friend, neighbor, or relative's home; at a commercial place; in a parking lot or garage; in other public areas (i.e., in open areas, on the street, or on public transportation); at school; or somewhere else.</w:t>
      </w:r>
    </w:p>
    <w:p w14:paraId="4120CAE4"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5D1ABF67" w14:textId="77777777" w:rsidTr="00E225A8">
        <w:tc>
          <w:tcPr>
            <w:tcW w:w="0" w:type="auto"/>
            <w:shd w:val="clear" w:color="auto" w:fill="2767AF"/>
            <w:vAlign w:val="center"/>
            <w:hideMark/>
          </w:tcPr>
          <w:p w14:paraId="2214688B"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03FB5C90"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2ADB1DFA" w14:textId="77777777" w:rsidTr="00E225A8">
        <w:trPr>
          <w:trHeight w:val="450"/>
        </w:trPr>
        <w:tc>
          <w:tcPr>
            <w:tcW w:w="1500" w:type="pct"/>
            <w:tcMar>
              <w:top w:w="75" w:type="dxa"/>
              <w:left w:w="75" w:type="dxa"/>
              <w:bottom w:w="75" w:type="dxa"/>
              <w:right w:w="75" w:type="dxa"/>
            </w:tcMar>
            <w:hideMark/>
          </w:tcPr>
          <w:p w14:paraId="662DAA02"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00DFF588"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At or near victim's home</w:t>
            </w:r>
          </w:p>
        </w:tc>
      </w:tr>
      <w:tr w:rsidR="00E225A8" w:rsidRPr="00E225A8" w14:paraId="5CBE4B0F" w14:textId="77777777" w:rsidTr="00E225A8">
        <w:trPr>
          <w:trHeight w:val="450"/>
        </w:trPr>
        <w:tc>
          <w:tcPr>
            <w:tcW w:w="1500" w:type="pct"/>
            <w:shd w:val="clear" w:color="auto" w:fill="F2F6F9"/>
            <w:tcMar>
              <w:top w:w="75" w:type="dxa"/>
              <w:left w:w="75" w:type="dxa"/>
              <w:bottom w:w="75" w:type="dxa"/>
              <w:right w:w="75" w:type="dxa"/>
            </w:tcMar>
            <w:hideMark/>
          </w:tcPr>
          <w:p w14:paraId="3319C2C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7E534D02"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At or near friend, neighbor, or relative's home</w:t>
            </w:r>
          </w:p>
        </w:tc>
      </w:tr>
      <w:tr w:rsidR="00E225A8" w:rsidRPr="00E225A8" w14:paraId="70BF3415" w14:textId="77777777" w:rsidTr="00E225A8">
        <w:trPr>
          <w:trHeight w:val="450"/>
        </w:trPr>
        <w:tc>
          <w:tcPr>
            <w:tcW w:w="1500" w:type="pct"/>
            <w:tcMar>
              <w:top w:w="75" w:type="dxa"/>
              <w:left w:w="75" w:type="dxa"/>
              <w:bottom w:w="75" w:type="dxa"/>
              <w:right w:w="75" w:type="dxa"/>
            </w:tcMar>
            <w:hideMark/>
          </w:tcPr>
          <w:p w14:paraId="0B527451"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tcMar>
              <w:top w:w="75" w:type="dxa"/>
              <w:left w:w="75" w:type="dxa"/>
              <w:bottom w:w="75" w:type="dxa"/>
              <w:right w:w="75" w:type="dxa"/>
            </w:tcMar>
            <w:hideMark/>
          </w:tcPr>
          <w:p w14:paraId="7544F02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Commercial place, parking lot, or other public area</w:t>
            </w:r>
          </w:p>
        </w:tc>
      </w:tr>
      <w:tr w:rsidR="00E225A8" w:rsidRPr="00E225A8" w14:paraId="5169125B" w14:textId="77777777" w:rsidTr="00E225A8">
        <w:trPr>
          <w:trHeight w:val="450"/>
        </w:trPr>
        <w:tc>
          <w:tcPr>
            <w:tcW w:w="1500" w:type="pct"/>
            <w:shd w:val="clear" w:color="auto" w:fill="F2F6F9"/>
            <w:tcMar>
              <w:top w:w="75" w:type="dxa"/>
              <w:left w:w="75" w:type="dxa"/>
              <w:bottom w:w="75" w:type="dxa"/>
              <w:right w:w="75" w:type="dxa"/>
            </w:tcMar>
            <w:hideMark/>
          </w:tcPr>
          <w:p w14:paraId="723DF0F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4</w:t>
            </w:r>
          </w:p>
        </w:tc>
        <w:tc>
          <w:tcPr>
            <w:tcW w:w="3500" w:type="pct"/>
            <w:shd w:val="clear" w:color="auto" w:fill="F2F6F9"/>
            <w:tcMar>
              <w:top w:w="75" w:type="dxa"/>
              <w:left w:w="75" w:type="dxa"/>
              <w:bottom w:w="75" w:type="dxa"/>
              <w:right w:w="75" w:type="dxa"/>
            </w:tcMar>
            <w:hideMark/>
          </w:tcPr>
          <w:p w14:paraId="4D51AD10"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School</w:t>
            </w:r>
          </w:p>
        </w:tc>
      </w:tr>
      <w:tr w:rsidR="00E225A8" w:rsidRPr="00E225A8" w14:paraId="1917DDD5" w14:textId="77777777" w:rsidTr="00E225A8">
        <w:trPr>
          <w:trHeight w:val="450"/>
        </w:trPr>
        <w:tc>
          <w:tcPr>
            <w:tcW w:w="1500" w:type="pct"/>
            <w:tcMar>
              <w:top w:w="75" w:type="dxa"/>
              <w:left w:w="75" w:type="dxa"/>
              <w:bottom w:w="75" w:type="dxa"/>
              <w:right w:w="75" w:type="dxa"/>
            </w:tcMar>
            <w:hideMark/>
          </w:tcPr>
          <w:p w14:paraId="46F21B3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5</w:t>
            </w:r>
          </w:p>
        </w:tc>
        <w:tc>
          <w:tcPr>
            <w:tcW w:w="3500" w:type="pct"/>
            <w:tcMar>
              <w:top w:w="75" w:type="dxa"/>
              <w:left w:w="75" w:type="dxa"/>
              <w:bottom w:w="75" w:type="dxa"/>
              <w:right w:w="75" w:type="dxa"/>
            </w:tcMar>
            <w:hideMark/>
          </w:tcPr>
          <w:p w14:paraId="510A742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Other location</w:t>
            </w:r>
          </w:p>
        </w:tc>
      </w:tr>
    </w:tbl>
    <w:p w14:paraId="43A5F50B"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0AE0DDC4">
          <v:rect id="_x0000_i1031" style="width:0;height:1.5pt" o:hralign="center" o:hrstd="t" o:hr="t" fillcolor="#a0a0a0" stroked="f"/>
        </w:pict>
      </w:r>
    </w:p>
    <w:p w14:paraId="50B67778"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03121395"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28" w:anchor="top" w:history="1">
        <w:r w:rsidRPr="00E225A8">
          <w:rPr>
            <w:rFonts w:ascii="Verdana" w:eastAsia="Times New Roman" w:hAnsi="Verdana" w:cs="Times New Roman"/>
            <w:color w:val="7799BC"/>
            <w:sz w:val="19"/>
            <w:szCs w:val="19"/>
            <w:u w:val="single"/>
          </w:rPr>
          <w:t>top</w:t>
        </w:r>
      </w:hyperlink>
    </w:p>
    <w:p w14:paraId="6785FE90"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Location of residence (</w:t>
      </w:r>
      <w:proofErr w:type="spellStart"/>
      <w:r w:rsidRPr="00E225A8">
        <w:rPr>
          <w:rFonts w:ascii="Verdana" w:eastAsia="Times New Roman" w:hAnsi="Verdana" w:cs="Times New Roman"/>
          <w:b/>
          <w:bCs/>
          <w:color w:val="000000"/>
          <w:sz w:val="24"/>
          <w:szCs w:val="24"/>
        </w:rPr>
        <w:t>msa</w:t>
      </w:r>
      <w:proofErr w:type="spellEnd"/>
      <w:r w:rsidRPr="00E225A8">
        <w:rPr>
          <w:rFonts w:ascii="Verdana" w:eastAsia="Times New Roman" w:hAnsi="Verdana" w:cs="Times New Roman"/>
          <w:b/>
          <w:bCs/>
          <w:color w:val="000000"/>
          <w:sz w:val="24"/>
          <w:szCs w:val="24"/>
        </w:rPr>
        <w:t>)</w:t>
      </w:r>
    </w:p>
    <w:p w14:paraId="1A83C670"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 xml:space="preserve">The Office of Management and Budget (OMB) defines location of residence using metropolitan statistical areas (MSA), which contain a population nucleus of 50,000 or more, generally consisting of a city and its immediate suburbs, along with adjacent communities having a high degree of economic and social integration with the nucleus. MSAs are designated by counties, the smallest geographic units for which a wide range of statistical data can be attained. However, in New England, MSAs are designated by cities and towns because these subcounty units are of great local significance and considerable data are available for them. Currently, an area is </w:t>
      </w:r>
      <w:r w:rsidRPr="00E225A8">
        <w:rPr>
          <w:rFonts w:ascii="Verdana" w:eastAsia="Times New Roman" w:hAnsi="Verdana" w:cs="Times New Roman"/>
          <w:color w:val="000000"/>
          <w:sz w:val="19"/>
          <w:szCs w:val="19"/>
        </w:rPr>
        <w:lastRenderedPageBreak/>
        <w:t>defined as an MSA if it meets one of two standards: (1) a city has a population of at least 50,000 residents, and (2) the Census Bureau defines an urbanized area of at least 50,000 people with a total metropolitan population of at least 100,000 (or 75,000 in New England). The Census Bureau's definition of urbanized areas, data on commuting to work, and the strength of the economic and social ties between the surrounding counties and the central city determine which counties not containing a main city are included in an MSA. For New England, MSAs are determined by a core area and related cities and towns, not counties. An MSA may contain more than one city of 50,000 residents and may cross state lines.</w:t>
      </w:r>
    </w:p>
    <w:p w14:paraId="4C608549"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498787D2" w14:textId="77777777" w:rsidTr="00E225A8">
        <w:tc>
          <w:tcPr>
            <w:tcW w:w="0" w:type="auto"/>
            <w:shd w:val="clear" w:color="auto" w:fill="2767AF"/>
            <w:vAlign w:val="center"/>
            <w:hideMark/>
          </w:tcPr>
          <w:p w14:paraId="2DE6301D"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72D0A645"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7F361230" w14:textId="77777777" w:rsidTr="00E225A8">
        <w:trPr>
          <w:trHeight w:val="450"/>
        </w:trPr>
        <w:tc>
          <w:tcPr>
            <w:tcW w:w="1500" w:type="pct"/>
            <w:tcMar>
              <w:top w:w="75" w:type="dxa"/>
              <w:left w:w="75" w:type="dxa"/>
              <w:bottom w:w="75" w:type="dxa"/>
              <w:right w:w="75" w:type="dxa"/>
            </w:tcMar>
            <w:hideMark/>
          </w:tcPr>
          <w:p w14:paraId="6F726CB6"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13C171C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Urban</w:t>
            </w:r>
          </w:p>
        </w:tc>
      </w:tr>
      <w:tr w:rsidR="00E225A8" w:rsidRPr="00E225A8" w14:paraId="0DC3253F" w14:textId="77777777" w:rsidTr="00E225A8">
        <w:trPr>
          <w:trHeight w:val="450"/>
        </w:trPr>
        <w:tc>
          <w:tcPr>
            <w:tcW w:w="1500" w:type="pct"/>
            <w:shd w:val="clear" w:color="auto" w:fill="F2F6F9"/>
            <w:tcMar>
              <w:top w:w="75" w:type="dxa"/>
              <w:left w:w="75" w:type="dxa"/>
              <w:bottom w:w="75" w:type="dxa"/>
              <w:right w:w="75" w:type="dxa"/>
            </w:tcMar>
            <w:hideMark/>
          </w:tcPr>
          <w:p w14:paraId="5864BF29"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2C066E5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Suburban</w:t>
            </w:r>
          </w:p>
        </w:tc>
      </w:tr>
      <w:tr w:rsidR="00E225A8" w:rsidRPr="00E225A8" w14:paraId="31EA132D" w14:textId="77777777" w:rsidTr="00E225A8">
        <w:trPr>
          <w:trHeight w:val="450"/>
        </w:trPr>
        <w:tc>
          <w:tcPr>
            <w:tcW w:w="1500" w:type="pct"/>
            <w:tcMar>
              <w:top w:w="75" w:type="dxa"/>
              <w:left w:w="75" w:type="dxa"/>
              <w:bottom w:w="75" w:type="dxa"/>
              <w:right w:w="75" w:type="dxa"/>
            </w:tcMar>
            <w:hideMark/>
          </w:tcPr>
          <w:p w14:paraId="1278931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tcMar>
              <w:top w:w="75" w:type="dxa"/>
              <w:left w:w="75" w:type="dxa"/>
              <w:bottom w:w="75" w:type="dxa"/>
              <w:right w:w="75" w:type="dxa"/>
            </w:tcMar>
            <w:hideMark/>
          </w:tcPr>
          <w:p w14:paraId="36B0A656"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Rural</w:t>
            </w:r>
          </w:p>
        </w:tc>
      </w:tr>
    </w:tbl>
    <w:p w14:paraId="7BEE6855"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6FA85349">
          <v:rect id="_x0000_i1032" style="width:0;height:1.5pt" o:hralign="center" o:hrstd="t" o:hr="t" fillcolor="#a0a0a0" stroked="f"/>
        </w:pict>
      </w:r>
    </w:p>
    <w:p w14:paraId="04256D8F"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2AE8B0FC"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29" w:anchor="top" w:history="1">
        <w:r w:rsidRPr="00E225A8">
          <w:rPr>
            <w:rFonts w:ascii="Verdana" w:eastAsia="Times New Roman" w:hAnsi="Verdana" w:cs="Times New Roman"/>
            <w:color w:val="7799BC"/>
            <w:sz w:val="19"/>
            <w:szCs w:val="19"/>
            <w:u w:val="single"/>
          </w:rPr>
          <w:t>top</w:t>
        </w:r>
      </w:hyperlink>
    </w:p>
    <w:p w14:paraId="3BDA8991"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Population size (</w:t>
      </w:r>
      <w:proofErr w:type="spellStart"/>
      <w:r w:rsidRPr="00E225A8">
        <w:rPr>
          <w:rFonts w:ascii="Verdana" w:eastAsia="Times New Roman" w:hAnsi="Verdana" w:cs="Times New Roman"/>
          <w:b/>
          <w:bCs/>
          <w:color w:val="000000"/>
          <w:sz w:val="24"/>
          <w:szCs w:val="24"/>
        </w:rPr>
        <w:t>popsize</w:t>
      </w:r>
      <w:proofErr w:type="spellEnd"/>
      <w:r w:rsidRPr="00E225A8">
        <w:rPr>
          <w:rFonts w:ascii="Verdana" w:eastAsia="Times New Roman" w:hAnsi="Verdana" w:cs="Times New Roman"/>
          <w:b/>
          <w:bCs/>
          <w:color w:val="000000"/>
          <w:sz w:val="24"/>
          <w:szCs w:val="24"/>
        </w:rPr>
        <w:t>)</w:t>
      </w:r>
    </w:p>
    <w:p w14:paraId="49DC473B"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The size range for the place in which the housing unit is located. "Not a place" is a concentration of population that is either not legally bounded as an incorporated place having an active government or not delineated for statistical purposes as a census designated place with definite geographic boundaries, such as a city, town, or village.</w:t>
      </w:r>
    </w:p>
    <w:p w14:paraId="22A58E2F"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1670396E" w14:textId="77777777" w:rsidTr="00E225A8">
        <w:tc>
          <w:tcPr>
            <w:tcW w:w="0" w:type="auto"/>
            <w:shd w:val="clear" w:color="auto" w:fill="2767AF"/>
            <w:vAlign w:val="center"/>
            <w:hideMark/>
          </w:tcPr>
          <w:p w14:paraId="444C5C31"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4079A9B4"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43B26FFF" w14:textId="77777777" w:rsidTr="00E225A8">
        <w:trPr>
          <w:trHeight w:val="450"/>
        </w:trPr>
        <w:tc>
          <w:tcPr>
            <w:tcW w:w="1500" w:type="pct"/>
            <w:tcMar>
              <w:top w:w="75" w:type="dxa"/>
              <w:left w:w="75" w:type="dxa"/>
              <w:bottom w:w="75" w:type="dxa"/>
              <w:right w:w="75" w:type="dxa"/>
            </w:tcMar>
            <w:hideMark/>
          </w:tcPr>
          <w:p w14:paraId="6A57FF09"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0</w:t>
            </w:r>
          </w:p>
        </w:tc>
        <w:tc>
          <w:tcPr>
            <w:tcW w:w="3500" w:type="pct"/>
            <w:tcMar>
              <w:top w:w="75" w:type="dxa"/>
              <w:left w:w="75" w:type="dxa"/>
              <w:bottom w:w="75" w:type="dxa"/>
              <w:right w:w="75" w:type="dxa"/>
            </w:tcMar>
            <w:hideMark/>
          </w:tcPr>
          <w:p w14:paraId="4CDFE07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Not a place</w:t>
            </w:r>
          </w:p>
        </w:tc>
      </w:tr>
      <w:tr w:rsidR="00E225A8" w:rsidRPr="00E225A8" w14:paraId="766B787A" w14:textId="77777777" w:rsidTr="00E225A8">
        <w:trPr>
          <w:trHeight w:val="450"/>
        </w:trPr>
        <w:tc>
          <w:tcPr>
            <w:tcW w:w="1500" w:type="pct"/>
            <w:shd w:val="clear" w:color="auto" w:fill="F2F6F9"/>
            <w:tcMar>
              <w:top w:w="75" w:type="dxa"/>
              <w:left w:w="75" w:type="dxa"/>
              <w:bottom w:w="75" w:type="dxa"/>
              <w:right w:w="75" w:type="dxa"/>
            </w:tcMar>
            <w:hideMark/>
          </w:tcPr>
          <w:p w14:paraId="2F7F69C5"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shd w:val="clear" w:color="auto" w:fill="F2F6F9"/>
            <w:tcMar>
              <w:top w:w="75" w:type="dxa"/>
              <w:left w:w="75" w:type="dxa"/>
              <w:bottom w:w="75" w:type="dxa"/>
              <w:right w:w="75" w:type="dxa"/>
            </w:tcMar>
            <w:hideMark/>
          </w:tcPr>
          <w:p w14:paraId="46098621"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Under 100,000</w:t>
            </w:r>
          </w:p>
        </w:tc>
      </w:tr>
      <w:tr w:rsidR="00E225A8" w:rsidRPr="00E225A8" w14:paraId="3BD29917" w14:textId="77777777" w:rsidTr="00E225A8">
        <w:trPr>
          <w:trHeight w:val="450"/>
        </w:trPr>
        <w:tc>
          <w:tcPr>
            <w:tcW w:w="1500" w:type="pct"/>
            <w:tcMar>
              <w:top w:w="75" w:type="dxa"/>
              <w:left w:w="75" w:type="dxa"/>
              <w:bottom w:w="75" w:type="dxa"/>
              <w:right w:w="75" w:type="dxa"/>
            </w:tcMar>
            <w:hideMark/>
          </w:tcPr>
          <w:p w14:paraId="13F9CE05"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lastRenderedPageBreak/>
              <w:t>2</w:t>
            </w:r>
          </w:p>
        </w:tc>
        <w:tc>
          <w:tcPr>
            <w:tcW w:w="3500" w:type="pct"/>
            <w:tcMar>
              <w:top w:w="75" w:type="dxa"/>
              <w:left w:w="75" w:type="dxa"/>
              <w:bottom w:w="75" w:type="dxa"/>
              <w:right w:w="75" w:type="dxa"/>
            </w:tcMar>
            <w:hideMark/>
          </w:tcPr>
          <w:p w14:paraId="7161464B"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100,000 to 249,999</w:t>
            </w:r>
          </w:p>
        </w:tc>
      </w:tr>
      <w:tr w:rsidR="00E225A8" w:rsidRPr="00E225A8" w14:paraId="7F897EF2" w14:textId="77777777" w:rsidTr="00E225A8">
        <w:trPr>
          <w:trHeight w:val="450"/>
        </w:trPr>
        <w:tc>
          <w:tcPr>
            <w:tcW w:w="1500" w:type="pct"/>
            <w:shd w:val="clear" w:color="auto" w:fill="F2F6F9"/>
            <w:tcMar>
              <w:top w:w="75" w:type="dxa"/>
              <w:left w:w="75" w:type="dxa"/>
              <w:bottom w:w="75" w:type="dxa"/>
              <w:right w:w="75" w:type="dxa"/>
            </w:tcMar>
            <w:hideMark/>
          </w:tcPr>
          <w:p w14:paraId="1947EC49"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shd w:val="clear" w:color="auto" w:fill="F2F6F9"/>
            <w:tcMar>
              <w:top w:w="75" w:type="dxa"/>
              <w:left w:w="75" w:type="dxa"/>
              <w:bottom w:w="75" w:type="dxa"/>
              <w:right w:w="75" w:type="dxa"/>
            </w:tcMar>
            <w:hideMark/>
          </w:tcPr>
          <w:p w14:paraId="774079B1"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250,000 to 499,999</w:t>
            </w:r>
          </w:p>
        </w:tc>
      </w:tr>
      <w:tr w:rsidR="00E225A8" w:rsidRPr="00E225A8" w14:paraId="19AC2036" w14:textId="77777777" w:rsidTr="00E225A8">
        <w:trPr>
          <w:trHeight w:val="450"/>
        </w:trPr>
        <w:tc>
          <w:tcPr>
            <w:tcW w:w="1500" w:type="pct"/>
            <w:tcMar>
              <w:top w:w="75" w:type="dxa"/>
              <w:left w:w="75" w:type="dxa"/>
              <w:bottom w:w="75" w:type="dxa"/>
              <w:right w:w="75" w:type="dxa"/>
            </w:tcMar>
            <w:hideMark/>
          </w:tcPr>
          <w:p w14:paraId="58D80FA9"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4</w:t>
            </w:r>
          </w:p>
        </w:tc>
        <w:tc>
          <w:tcPr>
            <w:tcW w:w="3500" w:type="pct"/>
            <w:tcMar>
              <w:top w:w="75" w:type="dxa"/>
              <w:left w:w="75" w:type="dxa"/>
              <w:bottom w:w="75" w:type="dxa"/>
              <w:right w:w="75" w:type="dxa"/>
            </w:tcMar>
            <w:hideMark/>
          </w:tcPr>
          <w:p w14:paraId="73DDA912"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500,000 to 999,999</w:t>
            </w:r>
          </w:p>
        </w:tc>
      </w:tr>
      <w:tr w:rsidR="00E225A8" w:rsidRPr="00E225A8" w14:paraId="375F8960" w14:textId="77777777" w:rsidTr="00E225A8">
        <w:trPr>
          <w:trHeight w:val="450"/>
        </w:trPr>
        <w:tc>
          <w:tcPr>
            <w:tcW w:w="1500" w:type="pct"/>
            <w:shd w:val="clear" w:color="auto" w:fill="F2F6F9"/>
            <w:tcMar>
              <w:top w:w="75" w:type="dxa"/>
              <w:left w:w="75" w:type="dxa"/>
              <w:bottom w:w="75" w:type="dxa"/>
              <w:right w:w="75" w:type="dxa"/>
            </w:tcMar>
            <w:hideMark/>
          </w:tcPr>
          <w:p w14:paraId="7B5C771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5</w:t>
            </w:r>
          </w:p>
        </w:tc>
        <w:tc>
          <w:tcPr>
            <w:tcW w:w="3500" w:type="pct"/>
            <w:shd w:val="clear" w:color="auto" w:fill="F2F6F9"/>
            <w:tcMar>
              <w:top w:w="75" w:type="dxa"/>
              <w:left w:w="75" w:type="dxa"/>
              <w:bottom w:w="75" w:type="dxa"/>
              <w:right w:w="75" w:type="dxa"/>
            </w:tcMar>
            <w:hideMark/>
          </w:tcPr>
          <w:p w14:paraId="255134B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 million or more</w:t>
            </w:r>
          </w:p>
        </w:tc>
      </w:tr>
    </w:tbl>
    <w:p w14:paraId="6725F340"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2790025E">
          <v:rect id="_x0000_i1033" style="width:0;height:1.5pt" o:hralign="center" o:hrstd="t" o:hr="t" fillcolor="#a0a0a0" stroked="f"/>
        </w:pict>
      </w:r>
    </w:p>
    <w:p w14:paraId="35F1D41D"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19632BAA"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30" w:anchor="top" w:history="1">
        <w:r w:rsidRPr="00E225A8">
          <w:rPr>
            <w:rFonts w:ascii="Verdana" w:eastAsia="Times New Roman" w:hAnsi="Verdana" w:cs="Times New Roman"/>
            <w:color w:val="7799BC"/>
            <w:sz w:val="19"/>
            <w:szCs w:val="19"/>
            <w:u w:val="single"/>
          </w:rPr>
          <w:t>top</w:t>
        </w:r>
      </w:hyperlink>
    </w:p>
    <w:p w14:paraId="0C8EC50B"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Race of head of household (hhrace1R)</w:t>
      </w:r>
    </w:p>
    <w:p w14:paraId="5C29F7E2"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 xml:space="preserve">Racial categories defined by the Office of Management and Budget are American Indian or Alaska Native, Asian, </w:t>
      </w:r>
      <w:proofErr w:type="gramStart"/>
      <w:r w:rsidRPr="00E225A8">
        <w:rPr>
          <w:rFonts w:ascii="Verdana" w:eastAsia="Times New Roman" w:hAnsi="Verdana" w:cs="Times New Roman"/>
          <w:color w:val="000000"/>
          <w:sz w:val="19"/>
          <w:szCs w:val="19"/>
        </w:rPr>
        <w:t>Black</w:t>
      </w:r>
      <w:proofErr w:type="gramEnd"/>
      <w:r w:rsidRPr="00E225A8">
        <w:rPr>
          <w:rFonts w:ascii="Verdana" w:eastAsia="Times New Roman" w:hAnsi="Verdana" w:cs="Times New Roman"/>
          <w:color w:val="000000"/>
          <w:sz w:val="19"/>
          <w:szCs w:val="19"/>
        </w:rPr>
        <w:t xml:space="preserve"> or African American, Native Hawaiian or Other Pacific Islander, and White. The race of the head of household is used in determining the race of the household for computing household crime demographics. Coding for race is White, Black, and Other (this includes American Indians and Alaska Natives; Asians, Native Hawaiians, and other Pacific Islanders; and persons of two or more races).</w:t>
      </w:r>
    </w:p>
    <w:p w14:paraId="51177E7B"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41FA0189" w14:textId="77777777" w:rsidTr="00E225A8">
        <w:tc>
          <w:tcPr>
            <w:tcW w:w="0" w:type="auto"/>
            <w:shd w:val="clear" w:color="auto" w:fill="2767AF"/>
            <w:vAlign w:val="center"/>
            <w:hideMark/>
          </w:tcPr>
          <w:p w14:paraId="0D5C054F"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1E446C43"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7231A990" w14:textId="77777777" w:rsidTr="00E225A8">
        <w:trPr>
          <w:trHeight w:val="450"/>
        </w:trPr>
        <w:tc>
          <w:tcPr>
            <w:tcW w:w="1500" w:type="pct"/>
            <w:tcMar>
              <w:top w:w="75" w:type="dxa"/>
              <w:left w:w="75" w:type="dxa"/>
              <w:bottom w:w="75" w:type="dxa"/>
              <w:right w:w="75" w:type="dxa"/>
            </w:tcMar>
            <w:hideMark/>
          </w:tcPr>
          <w:p w14:paraId="2F19AB47"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06CC99B7"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White</w:t>
            </w:r>
          </w:p>
        </w:tc>
      </w:tr>
      <w:tr w:rsidR="00E225A8" w:rsidRPr="00E225A8" w14:paraId="132A4D62" w14:textId="77777777" w:rsidTr="00E225A8">
        <w:trPr>
          <w:trHeight w:val="450"/>
        </w:trPr>
        <w:tc>
          <w:tcPr>
            <w:tcW w:w="1500" w:type="pct"/>
            <w:shd w:val="clear" w:color="auto" w:fill="F2F6F9"/>
            <w:tcMar>
              <w:top w:w="75" w:type="dxa"/>
              <w:left w:w="75" w:type="dxa"/>
              <w:bottom w:w="75" w:type="dxa"/>
              <w:right w:w="75" w:type="dxa"/>
            </w:tcMar>
            <w:hideMark/>
          </w:tcPr>
          <w:p w14:paraId="76430055"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0370A30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Black</w:t>
            </w:r>
          </w:p>
        </w:tc>
      </w:tr>
      <w:tr w:rsidR="00E225A8" w:rsidRPr="00E225A8" w14:paraId="7139ABA2" w14:textId="77777777" w:rsidTr="00E225A8">
        <w:trPr>
          <w:trHeight w:val="450"/>
        </w:trPr>
        <w:tc>
          <w:tcPr>
            <w:tcW w:w="1500" w:type="pct"/>
            <w:tcMar>
              <w:top w:w="75" w:type="dxa"/>
              <w:left w:w="75" w:type="dxa"/>
              <w:bottom w:w="75" w:type="dxa"/>
              <w:right w:w="75" w:type="dxa"/>
            </w:tcMar>
            <w:hideMark/>
          </w:tcPr>
          <w:p w14:paraId="58E77148"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tcMar>
              <w:top w:w="75" w:type="dxa"/>
              <w:left w:w="75" w:type="dxa"/>
              <w:bottom w:w="75" w:type="dxa"/>
              <w:right w:w="75" w:type="dxa"/>
            </w:tcMar>
            <w:hideMark/>
          </w:tcPr>
          <w:p w14:paraId="41F1B857"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Other</w:t>
            </w:r>
          </w:p>
        </w:tc>
      </w:tr>
    </w:tbl>
    <w:p w14:paraId="4C7A5160"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5AB7AAE3">
          <v:rect id="_x0000_i1034" style="width:0;height:1.5pt" o:hralign="center" o:hrstd="t" o:hr="t" fillcolor="#a0a0a0" stroked="f"/>
        </w:pict>
      </w:r>
    </w:p>
    <w:p w14:paraId="0B909C88"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45D1B9EA"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31" w:anchor="top" w:history="1">
        <w:r w:rsidRPr="00E225A8">
          <w:rPr>
            <w:rFonts w:ascii="Verdana" w:eastAsia="Times New Roman" w:hAnsi="Verdana" w:cs="Times New Roman"/>
            <w:color w:val="7799BC"/>
            <w:sz w:val="19"/>
            <w:szCs w:val="19"/>
            <w:u w:val="single"/>
          </w:rPr>
          <w:t>top</w:t>
        </w:r>
      </w:hyperlink>
    </w:p>
    <w:p w14:paraId="19D61BCE"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Race/Hispanic origin of head of household (hheth1R)</w:t>
      </w:r>
    </w:p>
    <w:p w14:paraId="45F5607D"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 xml:space="preserve">Racial categories defined by OMB include American Indian or Alaska Native, Asian, black or African American, Native Hawaiian or </w:t>
      </w:r>
      <w:proofErr w:type="gramStart"/>
      <w:r w:rsidRPr="00E225A8">
        <w:rPr>
          <w:rFonts w:ascii="Verdana" w:eastAsia="Times New Roman" w:hAnsi="Verdana" w:cs="Times New Roman"/>
          <w:color w:val="000000"/>
          <w:sz w:val="19"/>
          <w:szCs w:val="19"/>
        </w:rPr>
        <w:t>other</w:t>
      </w:r>
      <w:proofErr w:type="gramEnd"/>
      <w:r w:rsidRPr="00E225A8">
        <w:rPr>
          <w:rFonts w:ascii="Verdana" w:eastAsia="Times New Roman" w:hAnsi="Verdana" w:cs="Times New Roman"/>
          <w:color w:val="000000"/>
          <w:sz w:val="19"/>
          <w:szCs w:val="19"/>
        </w:rPr>
        <w:t xml:space="preserve"> Pacific Islander, and white. The race of the head of household is used in determining the race of the household for computing household crime demographics. Hispanic origin is the classification based on Hispanic culture and origin, without considering race. Coding for race/Hispanic origin of head of household is non-Hispanic white, non-Hispanic black, non-Hispanic other (this includes American Indian and Alaska Native; Asian, Native Hawaiian, and other Pacific Islander; and persons of two or more races), and Hispanic.</w:t>
      </w:r>
    </w:p>
    <w:p w14:paraId="71836D27"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00EC6FB2" w14:textId="77777777" w:rsidTr="00E225A8">
        <w:tc>
          <w:tcPr>
            <w:tcW w:w="0" w:type="auto"/>
            <w:shd w:val="clear" w:color="auto" w:fill="2767AF"/>
            <w:vAlign w:val="center"/>
            <w:hideMark/>
          </w:tcPr>
          <w:p w14:paraId="59FF77E3"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38A73015"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1BAE250E" w14:textId="77777777" w:rsidTr="00E225A8">
        <w:trPr>
          <w:trHeight w:val="450"/>
        </w:trPr>
        <w:tc>
          <w:tcPr>
            <w:tcW w:w="1500" w:type="pct"/>
            <w:tcMar>
              <w:top w:w="75" w:type="dxa"/>
              <w:left w:w="75" w:type="dxa"/>
              <w:bottom w:w="75" w:type="dxa"/>
              <w:right w:w="75" w:type="dxa"/>
            </w:tcMar>
            <w:hideMark/>
          </w:tcPr>
          <w:p w14:paraId="0985BFE2"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6B1EE7C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Non-Hispanic white</w:t>
            </w:r>
          </w:p>
        </w:tc>
      </w:tr>
      <w:tr w:rsidR="00E225A8" w:rsidRPr="00E225A8" w14:paraId="37BD6164" w14:textId="77777777" w:rsidTr="00E225A8">
        <w:trPr>
          <w:trHeight w:val="450"/>
        </w:trPr>
        <w:tc>
          <w:tcPr>
            <w:tcW w:w="1500" w:type="pct"/>
            <w:shd w:val="clear" w:color="auto" w:fill="F2F6F9"/>
            <w:tcMar>
              <w:top w:w="75" w:type="dxa"/>
              <w:left w:w="75" w:type="dxa"/>
              <w:bottom w:w="75" w:type="dxa"/>
              <w:right w:w="75" w:type="dxa"/>
            </w:tcMar>
            <w:hideMark/>
          </w:tcPr>
          <w:p w14:paraId="02D05A0A"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0E1ADDD8"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Non-Hispanic black</w:t>
            </w:r>
          </w:p>
        </w:tc>
      </w:tr>
      <w:tr w:rsidR="00E225A8" w:rsidRPr="00E225A8" w14:paraId="0377005A" w14:textId="77777777" w:rsidTr="00E225A8">
        <w:trPr>
          <w:trHeight w:val="450"/>
        </w:trPr>
        <w:tc>
          <w:tcPr>
            <w:tcW w:w="1500" w:type="pct"/>
            <w:tcMar>
              <w:top w:w="75" w:type="dxa"/>
              <w:left w:w="75" w:type="dxa"/>
              <w:bottom w:w="75" w:type="dxa"/>
              <w:right w:w="75" w:type="dxa"/>
            </w:tcMar>
            <w:hideMark/>
          </w:tcPr>
          <w:p w14:paraId="774E1377"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tcMar>
              <w:top w:w="75" w:type="dxa"/>
              <w:left w:w="75" w:type="dxa"/>
              <w:bottom w:w="75" w:type="dxa"/>
              <w:right w:w="75" w:type="dxa"/>
            </w:tcMar>
            <w:hideMark/>
          </w:tcPr>
          <w:p w14:paraId="094DA9C8"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Non-Hispanic other</w:t>
            </w:r>
          </w:p>
        </w:tc>
      </w:tr>
      <w:tr w:rsidR="00E225A8" w:rsidRPr="00E225A8" w14:paraId="4122F3D8" w14:textId="77777777" w:rsidTr="00E225A8">
        <w:trPr>
          <w:trHeight w:val="450"/>
        </w:trPr>
        <w:tc>
          <w:tcPr>
            <w:tcW w:w="1500" w:type="pct"/>
            <w:shd w:val="clear" w:color="auto" w:fill="F2F6F9"/>
            <w:tcMar>
              <w:top w:w="75" w:type="dxa"/>
              <w:left w:w="75" w:type="dxa"/>
              <w:bottom w:w="75" w:type="dxa"/>
              <w:right w:w="75" w:type="dxa"/>
            </w:tcMar>
            <w:hideMark/>
          </w:tcPr>
          <w:p w14:paraId="075533F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4</w:t>
            </w:r>
          </w:p>
        </w:tc>
        <w:tc>
          <w:tcPr>
            <w:tcW w:w="3500" w:type="pct"/>
            <w:shd w:val="clear" w:color="auto" w:fill="F2F6F9"/>
            <w:tcMar>
              <w:top w:w="75" w:type="dxa"/>
              <w:left w:w="75" w:type="dxa"/>
              <w:bottom w:w="75" w:type="dxa"/>
              <w:right w:w="75" w:type="dxa"/>
            </w:tcMar>
            <w:hideMark/>
          </w:tcPr>
          <w:p w14:paraId="6AB8730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Hispanic</w:t>
            </w:r>
          </w:p>
        </w:tc>
      </w:tr>
    </w:tbl>
    <w:p w14:paraId="74F186CC"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53239F07">
          <v:rect id="_x0000_i1035" style="width:0;height:1.5pt" o:hralign="center" o:hrstd="t" o:hr="t" fillcolor="#a0a0a0" stroked="f"/>
        </w:pict>
      </w:r>
    </w:p>
    <w:p w14:paraId="70CD3E70"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0CE1321F"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32" w:anchor="top" w:history="1">
        <w:r w:rsidRPr="00E225A8">
          <w:rPr>
            <w:rFonts w:ascii="Verdana" w:eastAsia="Times New Roman" w:hAnsi="Verdana" w:cs="Times New Roman"/>
            <w:color w:val="7799BC"/>
            <w:sz w:val="19"/>
            <w:szCs w:val="19"/>
            <w:u w:val="single"/>
          </w:rPr>
          <w:t>top</w:t>
        </w:r>
      </w:hyperlink>
    </w:p>
    <w:p w14:paraId="364C843D"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Region (region)</w:t>
      </w:r>
    </w:p>
    <w:p w14:paraId="3079DBBF"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 xml:space="preserve">The states have been divided into four groups or census regions: Northeast, Midwest, South, and West. The Northeast includes the 9 states of Connecticut, Maine, Massachusetts, New Hampshire, New Jersey, New York, Pennsylvania, Rhode Island, and Vermont. The Midwest includes the 12 states of Illinois, Indiana, Iowa, Kansas, Michigan, Minnesota, Missouri, Nebraska, North Dakota, Ohio, South Dakota, and Wisconsin. The South includes the District of Columbia and the 16 states of Alabama, Arkansas, Delaware, Florida, Georgia, Kentucky, Louisiana, Maryland, Mississippi, North Carolina, Oklahoma, South Carolina, Tennessee, Texas, Virginia, and West </w:t>
      </w:r>
      <w:r w:rsidRPr="00E225A8">
        <w:rPr>
          <w:rFonts w:ascii="Verdana" w:eastAsia="Times New Roman" w:hAnsi="Verdana" w:cs="Times New Roman"/>
          <w:color w:val="000000"/>
          <w:sz w:val="19"/>
          <w:szCs w:val="19"/>
        </w:rPr>
        <w:lastRenderedPageBreak/>
        <w:t>Virginia. The West includes the 13 states of Alaska, Arizona, California, Colorado, Hawaii, Idaho, Montana, Nevada, New Mexico, Oregon, Utah, Washington, and Wyoming.</w:t>
      </w:r>
    </w:p>
    <w:p w14:paraId="4DF00215"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53A7041B" w14:textId="77777777" w:rsidTr="00E225A8">
        <w:tc>
          <w:tcPr>
            <w:tcW w:w="0" w:type="auto"/>
            <w:shd w:val="clear" w:color="auto" w:fill="2767AF"/>
            <w:vAlign w:val="center"/>
            <w:hideMark/>
          </w:tcPr>
          <w:p w14:paraId="0B8CB55A"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3015E961"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606F693E" w14:textId="77777777" w:rsidTr="00E225A8">
        <w:trPr>
          <w:trHeight w:val="450"/>
        </w:trPr>
        <w:tc>
          <w:tcPr>
            <w:tcW w:w="1500" w:type="pct"/>
            <w:tcMar>
              <w:top w:w="75" w:type="dxa"/>
              <w:left w:w="75" w:type="dxa"/>
              <w:bottom w:w="75" w:type="dxa"/>
              <w:right w:w="75" w:type="dxa"/>
            </w:tcMar>
            <w:hideMark/>
          </w:tcPr>
          <w:p w14:paraId="49555FCB"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6B48BC5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Northeast</w:t>
            </w:r>
          </w:p>
        </w:tc>
      </w:tr>
      <w:tr w:rsidR="00E225A8" w:rsidRPr="00E225A8" w14:paraId="2311B3E8" w14:textId="77777777" w:rsidTr="00E225A8">
        <w:trPr>
          <w:trHeight w:val="450"/>
        </w:trPr>
        <w:tc>
          <w:tcPr>
            <w:tcW w:w="1500" w:type="pct"/>
            <w:shd w:val="clear" w:color="auto" w:fill="F2F6F9"/>
            <w:tcMar>
              <w:top w:w="75" w:type="dxa"/>
              <w:left w:w="75" w:type="dxa"/>
              <w:bottom w:w="75" w:type="dxa"/>
              <w:right w:w="75" w:type="dxa"/>
            </w:tcMar>
            <w:hideMark/>
          </w:tcPr>
          <w:p w14:paraId="2D255C8C"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0D5C255A"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Midwest</w:t>
            </w:r>
          </w:p>
        </w:tc>
      </w:tr>
      <w:tr w:rsidR="00E225A8" w:rsidRPr="00E225A8" w14:paraId="6B3A1439" w14:textId="77777777" w:rsidTr="00E225A8">
        <w:trPr>
          <w:trHeight w:val="450"/>
        </w:trPr>
        <w:tc>
          <w:tcPr>
            <w:tcW w:w="1500" w:type="pct"/>
            <w:tcMar>
              <w:top w:w="75" w:type="dxa"/>
              <w:left w:w="75" w:type="dxa"/>
              <w:bottom w:w="75" w:type="dxa"/>
              <w:right w:w="75" w:type="dxa"/>
            </w:tcMar>
            <w:hideMark/>
          </w:tcPr>
          <w:p w14:paraId="792F8652"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3</w:t>
            </w:r>
          </w:p>
        </w:tc>
        <w:tc>
          <w:tcPr>
            <w:tcW w:w="3500" w:type="pct"/>
            <w:tcMar>
              <w:top w:w="75" w:type="dxa"/>
              <w:left w:w="75" w:type="dxa"/>
              <w:bottom w:w="75" w:type="dxa"/>
              <w:right w:w="75" w:type="dxa"/>
            </w:tcMar>
            <w:hideMark/>
          </w:tcPr>
          <w:p w14:paraId="2F40FD16"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South</w:t>
            </w:r>
          </w:p>
        </w:tc>
      </w:tr>
      <w:tr w:rsidR="00E225A8" w:rsidRPr="00E225A8" w14:paraId="6CF13C19" w14:textId="77777777" w:rsidTr="00E225A8">
        <w:trPr>
          <w:trHeight w:val="450"/>
        </w:trPr>
        <w:tc>
          <w:tcPr>
            <w:tcW w:w="1500" w:type="pct"/>
            <w:shd w:val="clear" w:color="auto" w:fill="F2F6F9"/>
            <w:tcMar>
              <w:top w:w="75" w:type="dxa"/>
              <w:left w:w="75" w:type="dxa"/>
              <w:bottom w:w="75" w:type="dxa"/>
              <w:right w:w="75" w:type="dxa"/>
            </w:tcMar>
            <w:hideMark/>
          </w:tcPr>
          <w:p w14:paraId="2E26C9B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4</w:t>
            </w:r>
          </w:p>
        </w:tc>
        <w:tc>
          <w:tcPr>
            <w:tcW w:w="3500" w:type="pct"/>
            <w:shd w:val="clear" w:color="auto" w:fill="F2F6F9"/>
            <w:tcMar>
              <w:top w:w="75" w:type="dxa"/>
              <w:left w:w="75" w:type="dxa"/>
              <w:bottom w:w="75" w:type="dxa"/>
              <w:right w:w="75" w:type="dxa"/>
            </w:tcMar>
            <w:hideMark/>
          </w:tcPr>
          <w:p w14:paraId="21163B6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West</w:t>
            </w:r>
          </w:p>
        </w:tc>
      </w:tr>
    </w:tbl>
    <w:p w14:paraId="7D9B83F0"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1898C436">
          <v:rect id="_x0000_i1036" style="width:0;height:1.5pt" o:hralign="center" o:hrstd="t" o:hr="t" fillcolor="#a0a0a0" stroked="f"/>
        </w:pict>
      </w:r>
    </w:p>
    <w:p w14:paraId="52218DF1"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6C4F24D9"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33" w:anchor="top" w:history="1">
        <w:r w:rsidRPr="00E225A8">
          <w:rPr>
            <w:rFonts w:ascii="Verdana" w:eastAsia="Times New Roman" w:hAnsi="Verdana" w:cs="Times New Roman"/>
            <w:color w:val="7799BC"/>
            <w:sz w:val="19"/>
            <w:szCs w:val="19"/>
            <w:u w:val="single"/>
          </w:rPr>
          <w:t>top</w:t>
        </w:r>
      </w:hyperlink>
    </w:p>
    <w:p w14:paraId="334591EB"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Reporting to the police (notify)</w:t>
      </w:r>
    </w:p>
    <w:p w14:paraId="0EFBAC3B"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Specifies whether the crime was reported to police. To calculate the household victimization rate by reporting to the police, use the total household population as the denominator.</w:t>
      </w:r>
    </w:p>
    <w:p w14:paraId="680B0E53"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60586A39" w14:textId="77777777" w:rsidTr="00E225A8">
        <w:tc>
          <w:tcPr>
            <w:tcW w:w="0" w:type="auto"/>
            <w:shd w:val="clear" w:color="auto" w:fill="2767AF"/>
            <w:vAlign w:val="center"/>
            <w:hideMark/>
          </w:tcPr>
          <w:p w14:paraId="0B317D84"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04A8F1FF"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2697544B" w14:textId="77777777" w:rsidTr="00E225A8">
        <w:trPr>
          <w:trHeight w:val="450"/>
        </w:trPr>
        <w:tc>
          <w:tcPr>
            <w:tcW w:w="1500" w:type="pct"/>
            <w:tcMar>
              <w:top w:w="75" w:type="dxa"/>
              <w:left w:w="75" w:type="dxa"/>
              <w:bottom w:w="75" w:type="dxa"/>
              <w:right w:w="75" w:type="dxa"/>
            </w:tcMar>
            <w:hideMark/>
          </w:tcPr>
          <w:p w14:paraId="3AEFFB7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238E567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Yes, reported to the police</w:t>
            </w:r>
          </w:p>
        </w:tc>
      </w:tr>
      <w:tr w:rsidR="00E225A8" w:rsidRPr="00E225A8" w14:paraId="415E1F83" w14:textId="77777777" w:rsidTr="00E225A8">
        <w:trPr>
          <w:trHeight w:val="450"/>
        </w:trPr>
        <w:tc>
          <w:tcPr>
            <w:tcW w:w="1500" w:type="pct"/>
            <w:shd w:val="clear" w:color="auto" w:fill="F2F6F9"/>
            <w:tcMar>
              <w:top w:w="75" w:type="dxa"/>
              <w:left w:w="75" w:type="dxa"/>
              <w:bottom w:w="75" w:type="dxa"/>
              <w:right w:w="75" w:type="dxa"/>
            </w:tcMar>
            <w:hideMark/>
          </w:tcPr>
          <w:p w14:paraId="168984E9"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34BC92F2"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No, did not report to the police</w:t>
            </w:r>
          </w:p>
        </w:tc>
      </w:tr>
      <w:tr w:rsidR="00E225A8" w:rsidRPr="00E225A8" w14:paraId="115B5412" w14:textId="77777777" w:rsidTr="00E225A8">
        <w:trPr>
          <w:trHeight w:val="450"/>
        </w:trPr>
        <w:tc>
          <w:tcPr>
            <w:tcW w:w="1500" w:type="pct"/>
            <w:tcMar>
              <w:top w:w="75" w:type="dxa"/>
              <w:left w:w="75" w:type="dxa"/>
              <w:bottom w:w="75" w:type="dxa"/>
              <w:right w:w="75" w:type="dxa"/>
            </w:tcMar>
            <w:hideMark/>
          </w:tcPr>
          <w:p w14:paraId="52EBB70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lastRenderedPageBreak/>
              <w:t>3</w:t>
            </w:r>
          </w:p>
        </w:tc>
        <w:tc>
          <w:tcPr>
            <w:tcW w:w="3500" w:type="pct"/>
            <w:tcMar>
              <w:top w:w="75" w:type="dxa"/>
              <w:left w:w="75" w:type="dxa"/>
              <w:bottom w:w="75" w:type="dxa"/>
              <w:right w:w="75" w:type="dxa"/>
            </w:tcMar>
            <w:hideMark/>
          </w:tcPr>
          <w:p w14:paraId="37D8C070"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Do not know</w:t>
            </w:r>
          </w:p>
        </w:tc>
      </w:tr>
    </w:tbl>
    <w:p w14:paraId="77B4DFAC"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37ABF7FA">
          <v:rect id="_x0000_i1037" style="width:0;height:1.5pt" o:hralign="center" o:hrstd="t" o:hr="t" fillcolor="#a0a0a0" stroked="f"/>
        </w:pict>
      </w:r>
    </w:p>
    <w:p w14:paraId="70F5BEF8"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1EAC291B"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34" w:anchor="top" w:history="1">
        <w:r w:rsidRPr="00E225A8">
          <w:rPr>
            <w:rFonts w:ascii="Verdana" w:eastAsia="Times New Roman" w:hAnsi="Verdana" w:cs="Times New Roman"/>
            <w:color w:val="7799BC"/>
            <w:sz w:val="19"/>
            <w:szCs w:val="19"/>
            <w:u w:val="single"/>
          </w:rPr>
          <w:t>top</w:t>
        </w:r>
      </w:hyperlink>
    </w:p>
    <w:p w14:paraId="4DB1B1C5"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Sex of head of household (</w:t>
      </w:r>
      <w:proofErr w:type="spellStart"/>
      <w:r w:rsidRPr="00E225A8">
        <w:rPr>
          <w:rFonts w:ascii="Verdana" w:eastAsia="Times New Roman" w:hAnsi="Verdana" w:cs="Times New Roman"/>
          <w:b/>
          <w:bCs/>
          <w:color w:val="000000"/>
          <w:sz w:val="24"/>
          <w:szCs w:val="24"/>
        </w:rPr>
        <w:t>hhgen</w:t>
      </w:r>
      <w:proofErr w:type="spellEnd"/>
      <w:r w:rsidRPr="00E225A8">
        <w:rPr>
          <w:rFonts w:ascii="Verdana" w:eastAsia="Times New Roman" w:hAnsi="Verdana" w:cs="Times New Roman"/>
          <w:b/>
          <w:bCs/>
          <w:color w:val="000000"/>
          <w:sz w:val="24"/>
          <w:szCs w:val="24"/>
        </w:rPr>
        <w:t>)</w:t>
      </w:r>
    </w:p>
    <w:p w14:paraId="34FDBEEA"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The respondent's sex. The sex of the head of household is used for computing household crime demographics.</w:t>
      </w:r>
    </w:p>
    <w:p w14:paraId="0591E383"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59FBB3BF" w14:textId="77777777" w:rsidTr="00E225A8">
        <w:tc>
          <w:tcPr>
            <w:tcW w:w="0" w:type="auto"/>
            <w:shd w:val="clear" w:color="auto" w:fill="2767AF"/>
            <w:vAlign w:val="center"/>
            <w:hideMark/>
          </w:tcPr>
          <w:p w14:paraId="48D1DD86"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362C3BB7"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431341F2" w14:textId="77777777" w:rsidTr="00E225A8">
        <w:trPr>
          <w:trHeight w:val="450"/>
        </w:trPr>
        <w:tc>
          <w:tcPr>
            <w:tcW w:w="1500" w:type="pct"/>
            <w:tcMar>
              <w:top w:w="75" w:type="dxa"/>
              <w:left w:w="75" w:type="dxa"/>
              <w:bottom w:w="75" w:type="dxa"/>
              <w:right w:w="75" w:type="dxa"/>
            </w:tcMar>
            <w:hideMark/>
          </w:tcPr>
          <w:p w14:paraId="282B7F2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27BAC48E"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Male</w:t>
            </w:r>
          </w:p>
        </w:tc>
      </w:tr>
      <w:tr w:rsidR="00E225A8" w:rsidRPr="00E225A8" w14:paraId="6BA09A02" w14:textId="77777777" w:rsidTr="00E225A8">
        <w:trPr>
          <w:trHeight w:val="450"/>
        </w:trPr>
        <w:tc>
          <w:tcPr>
            <w:tcW w:w="1500" w:type="pct"/>
            <w:shd w:val="clear" w:color="auto" w:fill="F2F6F9"/>
            <w:tcMar>
              <w:top w:w="75" w:type="dxa"/>
              <w:left w:w="75" w:type="dxa"/>
              <w:bottom w:w="75" w:type="dxa"/>
              <w:right w:w="75" w:type="dxa"/>
            </w:tcMar>
            <w:hideMark/>
          </w:tcPr>
          <w:p w14:paraId="54D5A9E5"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2</w:t>
            </w:r>
          </w:p>
        </w:tc>
        <w:tc>
          <w:tcPr>
            <w:tcW w:w="3500" w:type="pct"/>
            <w:shd w:val="clear" w:color="auto" w:fill="F2F6F9"/>
            <w:tcMar>
              <w:top w:w="75" w:type="dxa"/>
              <w:left w:w="75" w:type="dxa"/>
              <w:bottom w:w="75" w:type="dxa"/>
              <w:right w:w="75" w:type="dxa"/>
            </w:tcMar>
            <w:hideMark/>
          </w:tcPr>
          <w:p w14:paraId="23E38CE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Female</w:t>
            </w:r>
          </w:p>
        </w:tc>
      </w:tr>
    </w:tbl>
    <w:p w14:paraId="0B412BC0"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5B54F9AD">
          <v:rect id="_x0000_i1038" style="width:0;height:1.5pt" o:hralign="center" o:hrstd="t" o:hr="t" fillcolor="#a0a0a0" stroked="f"/>
        </w:pict>
      </w:r>
    </w:p>
    <w:p w14:paraId="5E382350"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2AAFA79B"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35" w:anchor="top" w:history="1">
        <w:r w:rsidRPr="00E225A8">
          <w:rPr>
            <w:rFonts w:ascii="Verdana" w:eastAsia="Times New Roman" w:hAnsi="Verdana" w:cs="Times New Roman"/>
            <w:color w:val="7799BC"/>
            <w:sz w:val="19"/>
            <w:szCs w:val="19"/>
            <w:u w:val="single"/>
          </w:rPr>
          <w:t>top</w:t>
        </w:r>
      </w:hyperlink>
    </w:p>
    <w:p w14:paraId="2FBD9C3B"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Type of crime (</w:t>
      </w:r>
      <w:proofErr w:type="spellStart"/>
      <w:r w:rsidRPr="00E225A8">
        <w:rPr>
          <w:rFonts w:ascii="Verdana" w:eastAsia="Times New Roman" w:hAnsi="Verdana" w:cs="Times New Roman"/>
          <w:b/>
          <w:bCs/>
          <w:color w:val="000000"/>
          <w:sz w:val="24"/>
          <w:szCs w:val="24"/>
        </w:rPr>
        <w:t>newoff</w:t>
      </w:r>
      <w:proofErr w:type="spellEnd"/>
      <w:r w:rsidRPr="00E225A8">
        <w:rPr>
          <w:rFonts w:ascii="Verdana" w:eastAsia="Times New Roman" w:hAnsi="Verdana" w:cs="Times New Roman"/>
          <w:b/>
          <w:bCs/>
          <w:color w:val="000000"/>
          <w:sz w:val="24"/>
          <w:szCs w:val="24"/>
        </w:rPr>
        <w:t>)</w:t>
      </w:r>
    </w:p>
    <w:p w14:paraId="181F62BF" w14:textId="77777777" w:rsidR="00E225A8" w:rsidRPr="00E225A8" w:rsidRDefault="00E225A8" w:rsidP="00E225A8">
      <w:pPr>
        <w:shd w:val="clear" w:color="auto" w:fill="FAFAFA"/>
        <w:spacing w:before="100" w:beforeAutospacing="1" w:after="100" w:afterAutospacing="1"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Household victimization includes all property victimization (burglary/trespassing, motor-vehicle theft, and theft). This category includes both attempted and completed crimes.</w:t>
      </w:r>
    </w:p>
    <w:p w14:paraId="071BEEAA" w14:textId="77777777" w:rsidR="00E225A8" w:rsidRPr="00E225A8" w:rsidRDefault="00E225A8" w:rsidP="00E225A8">
      <w:pPr>
        <w:shd w:val="clear" w:color="auto" w:fill="FAFAFA"/>
        <w:spacing w:before="100" w:beforeAutospacing="1" w:after="100" w:afterAutospacing="1"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Burglary/trespassing: Traditionally called household burglary. Includes unlawful or forcible entry or attempted entry of places, including a permanent residence, other residence (e.g., a hotel room or vacation residence), or other structure (e.g., a garage or shed). Includes victimizations where the offender stole, attempted to steal, or did not attempt to steal. Does not include trespassing on land.</w:t>
      </w:r>
    </w:p>
    <w:p w14:paraId="559FA8DA" w14:textId="77777777" w:rsidR="00E225A8" w:rsidRPr="00E225A8" w:rsidRDefault="00E225A8" w:rsidP="00E225A8">
      <w:pPr>
        <w:shd w:val="clear" w:color="auto" w:fill="FAFAFA"/>
        <w:spacing w:before="100" w:beforeAutospacing="1" w:after="100" w:afterAutospacing="1"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lastRenderedPageBreak/>
        <w:t>Motor-vehicle theft: The unlawful taking, or attempted taking, of self-propelled road vehicle owned by another, with the intent to permanently or temporarily depriving the owner of possession. Excludes vehicle parts.</w:t>
      </w:r>
    </w:p>
    <w:p w14:paraId="691D9CC4" w14:textId="77777777" w:rsidR="00E225A8" w:rsidRPr="00E225A8" w:rsidRDefault="00E225A8" w:rsidP="00E225A8">
      <w:pPr>
        <w:shd w:val="clear" w:color="auto" w:fill="FAFAFA"/>
        <w:spacing w:before="100" w:beforeAutospacing="1" w:after="100" w:afterAutospacing="1"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Theft: The taking or attempted unlawful taking of property or cash without personal contact with the victim. Incidents involving theft of property from within a household are classified as theft if the offender has a legal right to be in the house (e.g., a maid, delivery person, or guest). If the offender has no legal right to be in the house, the incident is classified as a burglary/trespassing.</w:t>
      </w:r>
    </w:p>
    <w:p w14:paraId="301408C9"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42C3BD89" w14:textId="77777777" w:rsidTr="00E225A8">
        <w:tc>
          <w:tcPr>
            <w:tcW w:w="0" w:type="auto"/>
            <w:shd w:val="clear" w:color="auto" w:fill="2767AF"/>
            <w:vAlign w:val="center"/>
            <w:hideMark/>
          </w:tcPr>
          <w:p w14:paraId="0BA1CAFC"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58F4CF5B"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203E6000" w14:textId="77777777" w:rsidTr="00E225A8">
        <w:trPr>
          <w:trHeight w:val="450"/>
        </w:trPr>
        <w:tc>
          <w:tcPr>
            <w:tcW w:w="1500" w:type="pct"/>
            <w:tcMar>
              <w:top w:w="75" w:type="dxa"/>
              <w:left w:w="75" w:type="dxa"/>
              <w:bottom w:w="75" w:type="dxa"/>
              <w:right w:w="75" w:type="dxa"/>
            </w:tcMar>
            <w:hideMark/>
          </w:tcPr>
          <w:p w14:paraId="6A4B04B0"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6</w:t>
            </w:r>
          </w:p>
        </w:tc>
        <w:tc>
          <w:tcPr>
            <w:tcW w:w="3500" w:type="pct"/>
            <w:tcMar>
              <w:top w:w="75" w:type="dxa"/>
              <w:left w:w="75" w:type="dxa"/>
              <w:bottom w:w="75" w:type="dxa"/>
              <w:right w:w="75" w:type="dxa"/>
            </w:tcMar>
            <w:hideMark/>
          </w:tcPr>
          <w:p w14:paraId="5AFFBE8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Burglary/trespassing</w:t>
            </w:r>
          </w:p>
        </w:tc>
      </w:tr>
      <w:tr w:rsidR="00E225A8" w:rsidRPr="00E225A8" w14:paraId="5B18B1D1" w14:textId="77777777" w:rsidTr="00E225A8">
        <w:trPr>
          <w:trHeight w:val="450"/>
        </w:trPr>
        <w:tc>
          <w:tcPr>
            <w:tcW w:w="1500" w:type="pct"/>
            <w:shd w:val="clear" w:color="auto" w:fill="F2F6F9"/>
            <w:tcMar>
              <w:top w:w="75" w:type="dxa"/>
              <w:left w:w="75" w:type="dxa"/>
              <w:bottom w:w="75" w:type="dxa"/>
              <w:right w:w="75" w:type="dxa"/>
            </w:tcMar>
            <w:hideMark/>
          </w:tcPr>
          <w:p w14:paraId="13F590A2"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7</w:t>
            </w:r>
          </w:p>
        </w:tc>
        <w:tc>
          <w:tcPr>
            <w:tcW w:w="3500" w:type="pct"/>
            <w:shd w:val="clear" w:color="auto" w:fill="F2F6F9"/>
            <w:tcMar>
              <w:top w:w="75" w:type="dxa"/>
              <w:left w:w="75" w:type="dxa"/>
              <w:bottom w:w="75" w:type="dxa"/>
              <w:right w:w="75" w:type="dxa"/>
            </w:tcMar>
            <w:hideMark/>
          </w:tcPr>
          <w:p w14:paraId="4EBA45E8"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Motor-vehicle theft</w:t>
            </w:r>
          </w:p>
        </w:tc>
      </w:tr>
      <w:tr w:rsidR="00E225A8" w:rsidRPr="00E225A8" w14:paraId="27C12682" w14:textId="77777777" w:rsidTr="00E225A8">
        <w:trPr>
          <w:trHeight w:val="450"/>
        </w:trPr>
        <w:tc>
          <w:tcPr>
            <w:tcW w:w="1500" w:type="pct"/>
            <w:tcMar>
              <w:top w:w="75" w:type="dxa"/>
              <w:left w:w="75" w:type="dxa"/>
              <w:bottom w:w="75" w:type="dxa"/>
              <w:right w:w="75" w:type="dxa"/>
            </w:tcMar>
            <w:hideMark/>
          </w:tcPr>
          <w:p w14:paraId="5D6A8547"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8</w:t>
            </w:r>
          </w:p>
        </w:tc>
        <w:tc>
          <w:tcPr>
            <w:tcW w:w="3500" w:type="pct"/>
            <w:tcMar>
              <w:top w:w="75" w:type="dxa"/>
              <w:left w:w="75" w:type="dxa"/>
              <w:bottom w:w="75" w:type="dxa"/>
              <w:right w:w="75" w:type="dxa"/>
            </w:tcMar>
            <w:hideMark/>
          </w:tcPr>
          <w:p w14:paraId="5A87D347"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Theft</w:t>
            </w:r>
          </w:p>
        </w:tc>
      </w:tr>
    </w:tbl>
    <w:p w14:paraId="37EF094B"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65FB431A">
          <v:rect id="_x0000_i1039" style="width:0;height:1.5pt" o:hralign="center" o:hrstd="t" o:hr="t" fillcolor="#a0a0a0" stroked="f"/>
        </w:pict>
      </w:r>
    </w:p>
    <w:p w14:paraId="68444155"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1D8B57D6"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36" w:anchor="top" w:history="1">
        <w:r w:rsidRPr="00E225A8">
          <w:rPr>
            <w:rFonts w:ascii="Verdana" w:eastAsia="Times New Roman" w:hAnsi="Verdana" w:cs="Times New Roman"/>
            <w:color w:val="7799BC"/>
            <w:sz w:val="19"/>
            <w:szCs w:val="19"/>
            <w:u w:val="single"/>
          </w:rPr>
          <w:t>top</w:t>
        </w:r>
      </w:hyperlink>
    </w:p>
    <w:p w14:paraId="05B56D2F"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Victim services (</w:t>
      </w:r>
      <w:proofErr w:type="spellStart"/>
      <w:r w:rsidRPr="00E225A8">
        <w:rPr>
          <w:rFonts w:ascii="Verdana" w:eastAsia="Times New Roman" w:hAnsi="Verdana" w:cs="Times New Roman"/>
          <w:b/>
          <w:bCs/>
          <w:color w:val="000000"/>
          <w:sz w:val="24"/>
          <w:szCs w:val="24"/>
        </w:rPr>
        <w:t>vicservices</w:t>
      </w:r>
      <w:proofErr w:type="spellEnd"/>
      <w:r w:rsidRPr="00E225A8">
        <w:rPr>
          <w:rFonts w:ascii="Verdana" w:eastAsia="Times New Roman" w:hAnsi="Verdana" w:cs="Times New Roman"/>
          <w:b/>
          <w:bCs/>
          <w:color w:val="000000"/>
          <w:sz w:val="24"/>
          <w:szCs w:val="24"/>
        </w:rPr>
        <w:t>)</w:t>
      </w:r>
    </w:p>
    <w:p w14:paraId="1C2A5FA5"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A measure of whether victims received any help or advice from victim service agencies. This is asked of victims of both personal and household victimization. Victim service agencies are publicly or privately funded organizations that provide victims with support and services to aid their physical and emotional recovery, offer protection from future victimizations, guide them through the criminal justice system process, and assist them in obtaining restitution.</w:t>
      </w:r>
    </w:p>
    <w:p w14:paraId="20A3FFEE"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641A5FA9" w14:textId="77777777" w:rsidTr="00E225A8">
        <w:tc>
          <w:tcPr>
            <w:tcW w:w="0" w:type="auto"/>
            <w:shd w:val="clear" w:color="auto" w:fill="2767AF"/>
            <w:vAlign w:val="center"/>
            <w:hideMark/>
          </w:tcPr>
          <w:p w14:paraId="4E9E0FC6"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20CFEF41"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408AD2AB" w14:textId="77777777" w:rsidTr="00E225A8">
        <w:trPr>
          <w:trHeight w:val="450"/>
        </w:trPr>
        <w:tc>
          <w:tcPr>
            <w:tcW w:w="1500" w:type="pct"/>
            <w:tcMar>
              <w:top w:w="75" w:type="dxa"/>
              <w:left w:w="75" w:type="dxa"/>
              <w:bottom w:w="75" w:type="dxa"/>
              <w:right w:w="75" w:type="dxa"/>
            </w:tcMar>
            <w:hideMark/>
          </w:tcPr>
          <w:p w14:paraId="62D4C86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1</w:t>
            </w:r>
          </w:p>
        </w:tc>
        <w:tc>
          <w:tcPr>
            <w:tcW w:w="3500" w:type="pct"/>
            <w:tcMar>
              <w:top w:w="75" w:type="dxa"/>
              <w:left w:w="75" w:type="dxa"/>
              <w:bottom w:w="75" w:type="dxa"/>
              <w:right w:w="75" w:type="dxa"/>
            </w:tcMar>
            <w:hideMark/>
          </w:tcPr>
          <w:p w14:paraId="181A35B3"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Services received from victim service agencies</w:t>
            </w:r>
          </w:p>
        </w:tc>
      </w:tr>
      <w:tr w:rsidR="00E225A8" w:rsidRPr="00E225A8" w14:paraId="6B7D9754" w14:textId="77777777" w:rsidTr="00E225A8">
        <w:trPr>
          <w:trHeight w:val="450"/>
        </w:trPr>
        <w:tc>
          <w:tcPr>
            <w:tcW w:w="1500" w:type="pct"/>
            <w:shd w:val="clear" w:color="auto" w:fill="F2F6F9"/>
            <w:tcMar>
              <w:top w:w="75" w:type="dxa"/>
              <w:left w:w="75" w:type="dxa"/>
              <w:bottom w:w="75" w:type="dxa"/>
              <w:right w:w="75" w:type="dxa"/>
            </w:tcMar>
            <w:hideMark/>
          </w:tcPr>
          <w:p w14:paraId="28C0BE44"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lastRenderedPageBreak/>
              <w:t>2</w:t>
            </w:r>
          </w:p>
        </w:tc>
        <w:tc>
          <w:tcPr>
            <w:tcW w:w="3500" w:type="pct"/>
            <w:shd w:val="clear" w:color="auto" w:fill="F2F6F9"/>
            <w:tcMar>
              <w:top w:w="75" w:type="dxa"/>
              <w:left w:w="75" w:type="dxa"/>
              <w:bottom w:w="75" w:type="dxa"/>
              <w:right w:w="75" w:type="dxa"/>
            </w:tcMar>
            <w:hideMark/>
          </w:tcPr>
          <w:p w14:paraId="05500FDF"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No services received from victim service agencies</w:t>
            </w:r>
          </w:p>
        </w:tc>
      </w:tr>
    </w:tbl>
    <w:p w14:paraId="4C236FFF"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734A33CE">
          <v:rect id="_x0000_i1040" style="width:0;height:1.5pt" o:hralign="center" o:hrstd="t" o:hr="t" fillcolor="#a0a0a0" stroked="f"/>
        </w:pict>
      </w:r>
    </w:p>
    <w:p w14:paraId="068C547E"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50922ADB"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37" w:anchor="top" w:history="1">
        <w:r w:rsidRPr="00E225A8">
          <w:rPr>
            <w:rFonts w:ascii="Verdana" w:eastAsia="Times New Roman" w:hAnsi="Verdana" w:cs="Times New Roman"/>
            <w:color w:val="7799BC"/>
            <w:sz w:val="19"/>
            <w:szCs w:val="19"/>
            <w:u w:val="single"/>
          </w:rPr>
          <w:t>top</w:t>
        </w:r>
      </w:hyperlink>
    </w:p>
    <w:p w14:paraId="1282FF89"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Weight (weight)</w:t>
      </w:r>
    </w:p>
    <w:p w14:paraId="4691D46E"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Weight definition</w:t>
      </w:r>
    </w:p>
    <w:p w14:paraId="638F5980" w14:textId="77777777" w:rsidR="00E225A8" w:rsidRPr="00E225A8" w:rsidRDefault="00E225A8" w:rsidP="00E225A8">
      <w:pPr>
        <w:spacing w:after="0" w:line="240" w:lineRule="auto"/>
        <w:rPr>
          <w:rFonts w:ascii="Verdana" w:eastAsia="Times New Roman" w:hAnsi="Verdana" w:cs="Times New Roman"/>
          <w:color w:val="000000"/>
          <w:sz w:val="19"/>
          <w:szCs w:val="19"/>
        </w:rPr>
      </w:pPr>
    </w:p>
    <w:tbl>
      <w:tblPr>
        <w:tblW w:w="195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864"/>
        <w:gridCol w:w="13684"/>
      </w:tblGrid>
      <w:tr w:rsidR="00E225A8" w:rsidRPr="00E225A8" w14:paraId="58E7E3CB" w14:textId="77777777" w:rsidTr="00E225A8">
        <w:tc>
          <w:tcPr>
            <w:tcW w:w="0" w:type="auto"/>
            <w:shd w:val="clear" w:color="auto" w:fill="2767AF"/>
            <w:vAlign w:val="center"/>
            <w:hideMark/>
          </w:tcPr>
          <w:p w14:paraId="0D695FAA"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Value</w:t>
            </w:r>
          </w:p>
        </w:tc>
        <w:tc>
          <w:tcPr>
            <w:tcW w:w="0" w:type="auto"/>
            <w:shd w:val="clear" w:color="auto" w:fill="2767AF"/>
            <w:vAlign w:val="center"/>
            <w:hideMark/>
          </w:tcPr>
          <w:p w14:paraId="1E87C045" w14:textId="77777777" w:rsidR="00E225A8" w:rsidRPr="00E225A8" w:rsidRDefault="00E225A8" w:rsidP="00E225A8">
            <w:pPr>
              <w:spacing w:after="300" w:line="240" w:lineRule="auto"/>
              <w:rPr>
                <w:rFonts w:ascii="Times New Roman" w:eastAsia="Times New Roman" w:hAnsi="Times New Roman" w:cs="Times New Roman"/>
                <w:b/>
                <w:bCs/>
                <w:color w:val="FFFFFF"/>
                <w:sz w:val="24"/>
                <w:szCs w:val="24"/>
              </w:rPr>
            </w:pPr>
            <w:r w:rsidRPr="00E225A8">
              <w:rPr>
                <w:rFonts w:ascii="Times New Roman" w:eastAsia="Times New Roman" w:hAnsi="Times New Roman" w:cs="Times New Roman"/>
                <w:b/>
                <w:bCs/>
                <w:color w:val="FFFFFF"/>
                <w:sz w:val="24"/>
                <w:szCs w:val="24"/>
              </w:rPr>
              <w:t>Description</w:t>
            </w:r>
          </w:p>
        </w:tc>
      </w:tr>
      <w:tr w:rsidR="00E225A8" w:rsidRPr="00E225A8" w14:paraId="74F75CA5" w14:textId="77777777" w:rsidTr="00E225A8">
        <w:trPr>
          <w:trHeight w:val="450"/>
        </w:trPr>
        <w:tc>
          <w:tcPr>
            <w:tcW w:w="1500" w:type="pct"/>
            <w:tcMar>
              <w:top w:w="75" w:type="dxa"/>
              <w:left w:w="75" w:type="dxa"/>
              <w:bottom w:w="75" w:type="dxa"/>
              <w:right w:w="75" w:type="dxa"/>
            </w:tcMar>
            <w:hideMark/>
          </w:tcPr>
          <w:p w14:paraId="531ABC96"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Household</w:t>
            </w:r>
          </w:p>
        </w:tc>
        <w:tc>
          <w:tcPr>
            <w:tcW w:w="3500" w:type="pct"/>
            <w:tcMar>
              <w:top w:w="75" w:type="dxa"/>
              <w:left w:w="75" w:type="dxa"/>
              <w:bottom w:w="75" w:type="dxa"/>
              <w:right w:w="75" w:type="dxa"/>
            </w:tcMar>
            <w:hideMark/>
          </w:tcPr>
          <w:p w14:paraId="43C1982A"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The weight is attached to the household population file and is used to calculate an estimate of households covered by the NCVS. In a calculation of household victimization rate, the weight is used to determine the denominator.</w:t>
            </w:r>
          </w:p>
        </w:tc>
      </w:tr>
      <w:tr w:rsidR="00E225A8" w:rsidRPr="00E225A8" w14:paraId="338EB3DF" w14:textId="77777777" w:rsidTr="00E225A8">
        <w:trPr>
          <w:trHeight w:val="450"/>
        </w:trPr>
        <w:tc>
          <w:tcPr>
            <w:tcW w:w="1500" w:type="pct"/>
            <w:shd w:val="clear" w:color="auto" w:fill="F2F6F9"/>
            <w:tcMar>
              <w:top w:w="75" w:type="dxa"/>
              <w:left w:w="75" w:type="dxa"/>
              <w:bottom w:w="75" w:type="dxa"/>
              <w:right w:w="75" w:type="dxa"/>
            </w:tcMar>
            <w:hideMark/>
          </w:tcPr>
          <w:p w14:paraId="50AA1A87"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Victimization</w:t>
            </w:r>
          </w:p>
        </w:tc>
        <w:tc>
          <w:tcPr>
            <w:tcW w:w="3500" w:type="pct"/>
            <w:shd w:val="clear" w:color="auto" w:fill="F2F6F9"/>
            <w:tcMar>
              <w:top w:w="75" w:type="dxa"/>
              <w:left w:w="75" w:type="dxa"/>
              <w:bottom w:w="75" w:type="dxa"/>
              <w:right w:w="75" w:type="dxa"/>
            </w:tcMar>
            <w:hideMark/>
          </w:tcPr>
          <w:p w14:paraId="28C89F29" w14:textId="77777777" w:rsidR="00E225A8" w:rsidRPr="00E225A8" w:rsidRDefault="00E225A8" w:rsidP="00E225A8">
            <w:pPr>
              <w:spacing w:after="300" w:line="240" w:lineRule="auto"/>
              <w:rPr>
                <w:rFonts w:ascii="Times New Roman" w:eastAsia="Times New Roman" w:hAnsi="Times New Roman" w:cs="Times New Roman"/>
                <w:color w:val="2767AF"/>
                <w:sz w:val="24"/>
                <w:szCs w:val="24"/>
              </w:rPr>
            </w:pPr>
            <w:r w:rsidRPr="00E225A8">
              <w:rPr>
                <w:rFonts w:ascii="Times New Roman" w:eastAsia="Times New Roman" w:hAnsi="Times New Roman" w:cs="Times New Roman"/>
                <w:color w:val="2767AF"/>
                <w:sz w:val="24"/>
                <w:szCs w:val="24"/>
              </w:rPr>
              <w:t>The weight used to calculate an estimate of victimizations. In a calculation of victimization rate, they are used to determine the numerator. This weight also accounts for high-frequency repeat victimizations, or series victimizations, which are six or more similar but separate victimizations that occur with such frequency that the victim is unable to recall each individual event or describe events in detail. BJS has decided to count series victimizations using the victim's estimate of the number of times the victimizations occurred during the prior 6 months, capping the number within each series at a maximum of 10 victimizations. Including series victimizations in national estimates can substantially increase the number and rate of violent victimization. However, trends in violence are generally similar regardless of whether series victimizations are included.</w:t>
            </w:r>
          </w:p>
        </w:tc>
      </w:tr>
    </w:tbl>
    <w:p w14:paraId="049752E6" w14:textId="77777777" w:rsidR="00E225A8" w:rsidRPr="00E225A8" w:rsidRDefault="00E225A8" w:rsidP="00E225A8">
      <w:pPr>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pict w14:anchorId="00B24D3E">
          <v:rect id="_x0000_i1041" style="width:0;height:1.5pt" o:hralign="center" o:hrstd="t" o:hr="t" fillcolor="#a0a0a0" stroked="f"/>
        </w:pict>
      </w:r>
    </w:p>
    <w:p w14:paraId="3C53EFB6" w14:textId="77777777" w:rsidR="00E225A8" w:rsidRPr="00E225A8" w:rsidRDefault="00E225A8" w:rsidP="00E225A8">
      <w:pPr>
        <w:spacing w:after="0" w:line="240" w:lineRule="auto"/>
        <w:rPr>
          <w:rFonts w:ascii="Verdana" w:eastAsia="Times New Roman" w:hAnsi="Verdana" w:cs="Times New Roman"/>
          <w:color w:val="000000"/>
          <w:sz w:val="19"/>
          <w:szCs w:val="19"/>
        </w:rPr>
      </w:pPr>
    </w:p>
    <w:p w14:paraId="7B1FEEC2" w14:textId="77777777" w:rsidR="00E225A8" w:rsidRPr="00E225A8" w:rsidRDefault="00E225A8" w:rsidP="00E225A8">
      <w:pPr>
        <w:spacing w:before="100" w:beforeAutospacing="1" w:after="100" w:afterAutospacing="1" w:line="240" w:lineRule="auto"/>
        <w:rPr>
          <w:rFonts w:ascii="Verdana" w:eastAsia="Times New Roman" w:hAnsi="Verdana" w:cs="Times New Roman"/>
          <w:color w:val="000000"/>
          <w:sz w:val="19"/>
          <w:szCs w:val="19"/>
        </w:rPr>
      </w:pPr>
      <w:hyperlink r:id="rId38" w:anchor="top" w:history="1">
        <w:r w:rsidRPr="00E225A8">
          <w:rPr>
            <w:rFonts w:ascii="Verdana" w:eastAsia="Times New Roman" w:hAnsi="Verdana" w:cs="Times New Roman"/>
            <w:color w:val="7799BC"/>
            <w:sz w:val="19"/>
            <w:szCs w:val="19"/>
            <w:u w:val="single"/>
          </w:rPr>
          <w:t>top</w:t>
        </w:r>
      </w:hyperlink>
    </w:p>
    <w:p w14:paraId="131779EC" w14:textId="77777777" w:rsidR="00E225A8" w:rsidRPr="00E225A8" w:rsidRDefault="00E225A8" w:rsidP="00E225A8">
      <w:pPr>
        <w:spacing w:before="100" w:beforeAutospacing="1" w:after="100" w:afterAutospacing="1" w:line="240" w:lineRule="auto"/>
        <w:outlineLvl w:val="3"/>
        <w:rPr>
          <w:rFonts w:ascii="Verdana" w:eastAsia="Times New Roman" w:hAnsi="Verdana" w:cs="Times New Roman"/>
          <w:b/>
          <w:bCs/>
          <w:color w:val="000000"/>
          <w:sz w:val="24"/>
          <w:szCs w:val="24"/>
        </w:rPr>
      </w:pPr>
      <w:r w:rsidRPr="00E225A8">
        <w:rPr>
          <w:rFonts w:ascii="Verdana" w:eastAsia="Times New Roman" w:hAnsi="Verdana" w:cs="Times New Roman"/>
          <w:b/>
          <w:bCs/>
          <w:color w:val="000000"/>
          <w:sz w:val="24"/>
          <w:szCs w:val="24"/>
        </w:rPr>
        <w:t>Year (year)</w:t>
      </w:r>
    </w:p>
    <w:p w14:paraId="06AD0683" w14:textId="77777777" w:rsidR="00E225A8" w:rsidRPr="00E225A8" w:rsidRDefault="00E225A8" w:rsidP="00E225A8">
      <w:pPr>
        <w:shd w:val="clear" w:color="auto" w:fill="FAFAFA"/>
        <w:spacing w:after="0" w:line="240" w:lineRule="auto"/>
        <w:rPr>
          <w:rFonts w:ascii="Verdana" w:eastAsia="Times New Roman" w:hAnsi="Verdana" w:cs="Times New Roman"/>
          <w:color w:val="000000"/>
          <w:sz w:val="19"/>
          <w:szCs w:val="19"/>
        </w:rPr>
      </w:pPr>
      <w:r w:rsidRPr="00E225A8">
        <w:rPr>
          <w:rFonts w:ascii="Verdana" w:eastAsia="Times New Roman" w:hAnsi="Verdana" w:cs="Times New Roman"/>
          <w:color w:val="000000"/>
          <w:sz w:val="19"/>
          <w:szCs w:val="19"/>
        </w:rPr>
        <w:t>Year of victimization</w:t>
      </w:r>
    </w:p>
    <w:p w14:paraId="345E2E5A" w14:textId="77777777" w:rsidR="00EE212A" w:rsidRDefault="00EE212A"/>
    <w:sectPr w:rsidR="00EE212A" w:rsidSect="00E225A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A07CB"/>
    <w:multiLevelType w:val="multilevel"/>
    <w:tmpl w:val="4A1E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A8"/>
    <w:rsid w:val="00E225A8"/>
    <w:rsid w:val="00EE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B044"/>
  <w15:chartTrackingRefBased/>
  <w15:docId w15:val="{641EEF90-4F72-43A5-8ECE-27822A87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25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25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5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25A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225A8"/>
    <w:rPr>
      <w:color w:val="0000FF"/>
      <w:u w:val="single"/>
    </w:rPr>
  </w:style>
  <w:style w:type="paragraph" w:styleId="NormalWeb">
    <w:name w:val="Normal (Web)"/>
    <w:basedOn w:val="Normal"/>
    <w:uiPriority w:val="99"/>
    <w:semiHidden/>
    <w:unhideWhenUsed/>
    <w:rsid w:val="00E225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244633">
      <w:bodyDiv w:val="1"/>
      <w:marLeft w:val="0"/>
      <w:marRight w:val="0"/>
      <w:marTop w:val="0"/>
      <w:marBottom w:val="0"/>
      <w:divBdr>
        <w:top w:val="none" w:sz="0" w:space="0" w:color="auto"/>
        <w:left w:val="none" w:sz="0" w:space="0" w:color="auto"/>
        <w:bottom w:val="none" w:sz="0" w:space="0" w:color="auto"/>
        <w:right w:val="none" w:sz="0" w:space="0" w:color="auto"/>
      </w:divBdr>
      <w:divsChild>
        <w:div w:id="477041471">
          <w:marLeft w:val="0"/>
          <w:marRight w:val="0"/>
          <w:marTop w:val="0"/>
          <w:marBottom w:val="0"/>
          <w:divBdr>
            <w:top w:val="none" w:sz="0" w:space="0" w:color="auto"/>
            <w:left w:val="none" w:sz="0" w:space="0" w:color="auto"/>
            <w:bottom w:val="none" w:sz="0" w:space="0" w:color="auto"/>
            <w:right w:val="none" w:sz="0" w:space="0" w:color="auto"/>
          </w:divBdr>
          <w:divsChild>
            <w:div w:id="320425948">
              <w:marLeft w:val="0"/>
              <w:marRight w:val="0"/>
              <w:marTop w:val="0"/>
              <w:marBottom w:val="0"/>
              <w:divBdr>
                <w:top w:val="none" w:sz="0" w:space="0" w:color="auto"/>
                <w:left w:val="none" w:sz="0" w:space="0" w:color="auto"/>
                <w:bottom w:val="none" w:sz="0" w:space="0" w:color="auto"/>
                <w:right w:val="none" w:sz="0" w:space="0" w:color="auto"/>
              </w:divBdr>
            </w:div>
            <w:div w:id="1140998189">
              <w:marLeft w:val="0"/>
              <w:marRight w:val="0"/>
              <w:marTop w:val="0"/>
              <w:marBottom w:val="0"/>
              <w:divBdr>
                <w:top w:val="single" w:sz="6" w:space="8" w:color="000000"/>
                <w:left w:val="single" w:sz="6" w:space="8" w:color="000000"/>
                <w:bottom w:val="single" w:sz="6" w:space="8" w:color="000000"/>
                <w:right w:val="single" w:sz="6" w:space="8" w:color="000000"/>
              </w:divBdr>
            </w:div>
            <w:div w:id="198710520">
              <w:marLeft w:val="0"/>
              <w:marRight w:val="0"/>
              <w:marTop w:val="0"/>
              <w:marBottom w:val="0"/>
              <w:divBdr>
                <w:top w:val="single" w:sz="6" w:space="8" w:color="000000"/>
                <w:left w:val="single" w:sz="6" w:space="8" w:color="000000"/>
                <w:bottom w:val="single" w:sz="6" w:space="8" w:color="000000"/>
                <w:right w:val="single" w:sz="6" w:space="8" w:color="000000"/>
              </w:divBdr>
            </w:div>
            <w:div w:id="1990203502">
              <w:marLeft w:val="0"/>
              <w:marRight w:val="0"/>
              <w:marTop w:val="0"/>
              <w:marBottom w:val="0"/>
              <w:divBdr>
                <w:top w:val="single" w:sz="6" w:space="8" w:color="000000"/>
                <w:left w:val="single" w:sz="6" w:space="8" w:color="000000"/>
                <w:bottom w:val="single" w:sz="6" w:space="8" w:color="000000"/>
                <w:right w:val="single" w:sz="6" w:space="8" w:color="000000"/>
              </w:divBdr>
            </w:div>
            <w:div w:id="1384452514">
              <w:marLeft w:val="0"/>
              <w:marRight w:val="0"/>
              <w:marTop w:val="0"/>
              <w:marBottom w:val="0"/>
              <w:divBdr>
                <w:top w:val="single" w:sz="6" w:space="8" w:color="000000"/>
                <w:left w:val="single" w:sz="6" w:space="8" w:color="000000"/>
                <w:bottom w:val="single" w:sz="6" w:space="8" w:color="000000"/>
                <w:right w:val="single" w:sz="6" w:space="8" w:color="000000"/>
              </w:divBdr>
            </w:div>
            <w:div w:id="1574508345">
              <w:marLeft w:val="0"/>
              <w:marRight w:val="0"/>
              <w:marTop w:val="0"/>
              <w:marBottom w:val="0"/>
              <w:divBdr>
                <w:top w:val="single" w:sz="6" w:space="8" w:color="000000"/>
                <w:left w:val="single" w:sz="6" w:space="8" w:color="000000"/>
                <w:bottom w:val="single" w:sz="6" w:space="8" w:color="000000"/>
                <w:right w:val="single" w:sz="6" w:space="8" w:color="000000"/>
              </w:divBdr>
            </w:div>
            <w:div w:id="326835245">
              <w:marLeft w:val="0"/>
              <w:marRight w:val="0"/>
              <w:marTop w:val="0"/>
              <w:marBottom w:val="0"/>
              <w:divBdr>
                <w:top w:val="single" w:sz="6" w:space="8" w:color="000000"/>
                <w:left w:val="single" w:sz="6" w:space="8" w:color="000000"/>
                <w:bottom w:val="single" w:sz="6" w:space="8" w:color="000000"/>
                <w:right w:val="single" w:sz="6" w:space="8" w:color="000000"/>
              </w:divBdr>
            </w:div>
            <w:div w:id="1211500816">
              <w:marLeft w:val="0"/>
              <w:marRight w:val="0"/>
              <w:marTop w:val="0"/>
              <w:marBottom w:val="0"/>
              <w:divBdr>
                <w:top w:val="single" w:sz="6" w:space="8" w:color="000000"/>
                <w:left w:val="single" w:sz="6" w:space="8" w:color="000000"/>
                <w:bottom w:val="single" w:sz="6" w:space="8" w:color="000000"/>
                <w:right w:val="single" w:sz="6" w:space="8" w:color="000000"/>
              </w:divBdr>
            </w:div>
            <w:div w:id="772480875">
              <w:marLeft w:val="0"/>
              <w:marRight w:val="0"/>
              <w:marTop w:val="0"/>
              <w:marBottom w:val="0"/>
              <w:divBdr>
                <w:top w:val="single" w:sz="6" w:space="8" w:color="000000"/>
                <w:left w:val="single" w:sz="6" w:space="8" w:color="000000"/>
                <w:bottom w:val="single" w:sz="6" w:space="8" w:color="000000"/>
                <w:right w:val="single" w:sz="6" w:space="8" w:color="000000"/>
              </w:divBdr>
            </w:div>
            <w:div w:id="141850534">
              <w:marLeft w:val="0"/>
              <w:marRight w:val="0"/>
              <w:marTop w:val="0"/>
              <w:marBottom w:val="0"/>
              <w:divBdr>
                <w:top w:val="single" w:sz="6" w:space="8" w:color="000000"/>
                <w:left w:val="single" w:sz="6" w:space="8" w:color="000000"/>
                <w:bottom w:val="single" w:sz="6" w:space="8" w:color="000000"/>
                <w:right w:val="single" w:sz="6" w:space="8" w:color="000000"/>
              </w:divBdr>
            </w:div>
            <w:div w:id="1071541951">
              <w:marLeft w:val="0"/>
              <w:marRight w:val="0"/>
              <w:marTop w:val="0"/>
              <w:marBottom w:val="0"/>
              <w:divBdr>
                <w:top w:val="single" w:sz="6" w:space="8" w:color="000000"/>
                <w:left w:val="single" w:sz="6" w:space="8" w:color="000000"/>
                <w:bottom w:val="single" w:sz="6" w:space="8" w:color="000000"/>
                <w:right w:val="single" w:sz="6" w:space="8" w:color="000000"/>
              </w:divBdr>
            </w:div>
            <w:div w:id="115177071">
              <w:marLeft w:val="0"/>
              <w:marRight w:val="0"/>
              <w:marTop w:val="0"/>
              <w:marBottom w:val="0"/>
              <w:divBdr>
                <w:top w:val="single" w:sz="6" w:space="8" w:color="000000"/>
                <w:left w:val="single" w:sz="6" w:space="8" w:color="000000"/>
                <w:bottom w:val="single" w:sz="6" w:space="8" w:color="000000"/>
                <w:right w:val="single" w:sz="6" w:space="8" w:color="000000"/>
              </w:divBdr>
            </w:div>
            <w:div w:id="1180703161">
              <w:marLeft w:val="0"/>
              <w:marRight w:val="0"/>
              <w:marTop w:val="0"/>
              <w:marBottom w:val="0"/>
              <w:divBdr>
                <w:top w:val="single" w:sz="6" w:space="8" w:color="000000"/>
                <w:left w:val="single" w:sz="6" w:space="8" w:color="000000"/>
                <w:bottom w:val="single" w:sz="6" w:space="8" w:color="000000"/>
                <w:right w:val="single" w:sz="6" w:space="8" w:color="000000"/>
              </w:divBdr>
            </w:div>
            <w:div w:id="455485001">
              <w:marLeft w:val="0"/>
              <w:marRight w:val="0"/>
              <w:marTop w:val="0"/>
              <w:marBottom w:val="0"/>
              <w:divBdr>
                <w:top w:val="single" w:sz="6" w:space="8" w:color="000000"/>
                <w:left w:val="single" w:sz="6" w:space="8" w:color="000000"/>
                <w:bottom w:val="single" w:sz="6" w:space="8" w:color="000000"/>
                <w:right w:val="single" w:sz="6" w:space="8" w:color="000000"/>
              </w:divBdr>
            </w:div>
            <w:div w:id="369036386">
              <w:marLeft w:val="0"/>
              <w:marRight w:val="0"/>
              <w:marTop w:val="0"/>
              <w:marBottom w:val="0"/>
              <w:divBdr>
                <w:top w:val="single" w:sz="6" w:space="8" w:color="000000"/>
                <w:left w:val="single" w:sz="6" w:space="8" w:color="000000"/>
                <w:bottom w:val="single" w:sz="6" w:space="8" w:color="000000"/>
                <w:right w:val="single" w:sz="6" w:space="8" w:color="000000"/>
              </w:divBdr>
            </w:div>
            <w:div w:id="812412203">
              <w:marLeft w:val="0"/>
              <w:marRight w:val="0"/>
              <w:marTop w:val="0"/>
              <w:marBottom w:val="0"/>
              <w:divBdr>
                <w:top w:val="single" w:sz="6" w:space="8" w:color="000000"/>
                <w:left w:val="single" w:sz="6" w:space="8" w:color="000000"/>
                <w:bottom w:val="single" w:sz="6" w:space="8" w:color="000000"/>
                <w:right w:val="single" w:sz="6" w:space="8" w:color="000000"/>
              </w:divBdr>
            </w:div>
            <w:div w:id="1767074727">
              <w:marLeft w:val="0"/>
              <w:marRight w:val="0"/>
              <w:marTop w:val="0"/>
              <w:marBottom w:val="0"/>
              <w:divBdr>
                <w:top w:val="single" w:sz="6" w:space="8" w:color="000000"/>
                <w:left w:val="single" w:sz="6" w:space="8" w:color="000000"/>
                <w:bottom w:val="single" w:sz="6" w:space="8" w:color="000000"/>
                <w:right w:val="single" w:sz="6" w:space="8" w:color="000000"/>
              </w:divBdr>
            </w:div>
            <w:div w:id="1583486371">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js.gov/developer/ncvs/householdFields.cfm" TargetMode="External"/><Relationship Id="rId18" Type="http://schemas.openxmlformats.org/officeDocument/2006/relationships/hyperlink" Target="https://www.bjs.gov/developer/ncvs/householdFields.cfm" TargetMode="External"/><Relationship Id="rId26" Type="http://schemas.openxmlformats.org/officeDocument/2006/relationships/hyperlink" Target="https://www.bjs.gov/developer/ncvs/householdFields.cfm" TargetMode="External"/><Relationship Id="rId39" Type="http://schemas.openxmlformats.org/officeDocument/2006/relationships/fontTable" Target="fontTable.xml"/><Relationship Id="rId21" Type="http://schemas.openxmlformats.org/officeDocument/2006/relationships/hyperlink" Target="https://www.bjs.gov/developer/ncvs/householdFields.cfm" TargetMode="External"/><Relationship Id="rId34" Type="http://schemas.openxmlformats.org/officeDocument/2006/relationships/hyperlink" Target="https://www.bjs.gov/developer/ncvs/householdFields.cfm" TargetMode="External"/><Relationship Id="rId7" Type="http://schemas.openxmlformats.org/officeDocument/2006/relationships/hyperlink" Target="https://www.bjs.gov/developer/ncvs/householdFields.cfm" TargetMode="External"/><Relationship Id="rId12" Type="http://schemas.openxmlformats.org/officeDocument/2006/relationships/hyperlink" Target="https://www.bjs.gov/developer/ncvs/householdFields.cfm" TargetMode="External"/><Relationship Id="rId17" Type="http://schemas.openxmlformats.org/officeDocument/2006/relationships/hyperlink" Target="https://www.bjs.gov/developer/ncvs/householdFields.cfm" TargetMode="External"/><Relationship Id="rId25" Type="http://schemas.openxmlformats.org/officeDocument/2006/relationships/hyperlink" Target="https://www.bjs.gov/developer/ncvs/householdFields.cfm" TargetMode="External"/><Relationship Id="rId33" Type="http://schemas.openxmlformats.org/officeDocument/2006/relationships/hyperlink" Target="https://www.bjs.gov/developer/ncvs/householdFields.cfm" TargetMode="External"/><Relationship Id="rId38" Type="http://schemas.openxmlformats.org/officeDocument/2006/relationships/hyperlink" Target="https://www.bjs.gov/developer/ncvs/householdFields.cfm" TargetMode="External"/><Relationship Id="rId2" Type="http://schemas.openxmlformats.org/officeDocument/2006/relationships/styles" Target="styles.xml"/><Relationship Id="rId16" Type="http://schemas.openxmlformats.org/officeDocument/2006/relationships/hyperlink" Target="https://www.bjs.gov/developer/ncvs/householdFields.cfm" TargetMode="External"/><Relationship Id="rId20" Type="http://schemas.openxmlformats.org/officeDocument/2006/relationships/hyperlink" Target="https://www.bjs.gov/developer/ncvs/householdFields.cfm" TargetMode="External"/><Relationship Id="rId29" Type="http://schemas.openxmlformats.org/officeDocument/2006/relationships/hyperlink" Target="https://www.bjs.gov/developer/ncvs/householdFields.cfm" TargetMode="External"/><Relationship Id="rId1" Type="http://schemas.openxmlformats.org/officeDocument/2006/relationships/numbering" Target="numbering.xml"/><Relationship Id="rId6" Type="http://schemas.openxmlformats.org/officeDocument/2006/relationships/hyperlink" Target="https://www.bjs.gov/developer/ncvs/householdFields.cfm" TargetMode="External"/><Relationship Id="rId11" Type="http://schemas.openxmlformats.org/officeDocument/2006/relationships/hyperlink" Target="https://www.bjs.gov/developer/ncvs/householdFields.cfm" TargetMode="External"/><Relationship Id="rId24" Type="http://schemas.openxmlformats.org/officeDocument/2006/relationships/hyperlink" Target="https://www.bjs.gov/developer/ncvs/householdFields.cfm" TargetMode="External"/><Relationship Id="rId32" Type="http://schemas.openxmlformats.org/officeDocument/2006/relationships/hyperlink" Target="https://www.bjs.gov/developer/ncvs/householdFields.cfm" TargetMode="External"/><Relationship Id="rId37" Type="http://schemas.openxmlformats.org/officeDocument/2006/relationships/hyperlink" Target="https://www.bjs.gov/developer/ncvs/householdFields.cfm" TargetMode="External"/><Relationship Id="rId40" Type="http://schemas.openxmlformats.org/officeDocument/2006/relationships/theme" Target="theme/theme1.xml"/><Relationship Id="rId5" Type="http://schemas.openxmlformats.org/officeDocument/2006/relationships/hyperlink" Target="https://www.bjs.gov/developer/ncvs/householdFields.cfm" TargetMode="External"/><Relationship Id="rId15" Type="http://schemas.openxmlformats.org/officeDocument/2006/relationships/hyperlink" Target="https://www.bjs.gov/developer/ncvs/householdFields.cfm" TargetMode="External"/><Relationship Id="rId23" Type="http://schemas.openxmlformats.org/officeDocument/2006/relationships/hyperlink" Target="https://www.bjs.gov/developer/ncvs/householdFields.cfm" TargetMode="External"/><Relationship Id="rId28" Type="http://schemas.openxmlformats.org/officeDocument/2006/relationships/hyperlink" Target="https://www.bjs.gov/developer/ncvs/householdFields.cfm" TargetMode="External"/><Relationship Id="rId36" Type="http://schemas.openxmlformats.org/officeDocument/2006/relationships/hyperlink" Target="https://www.bjs.gov/developer/ncvs/householdFields.cfm" TargetMode="External"/><Relationship Id="rId10" Type="http://schemas.openxmlformats.org/officeDocument/2006/relationships/hyperlink" Target="https://www.bjs.gov/developer/ncvs/householdFields.cfm" TargetMode="External"/><Relationship Id="rId19" Type="http://schemas.openxmlformats.org/officeDocument/2006/relationships/hyperlink" Target="https://www.bjs.gov/developer/ncvs/householdFields.cfm" TargetMode="External"/><Relationship Id="rId31" Type="http://schemas.openxmlformats.org/officeDocument/2006/relationships/hyperlink" Target="https://www.bjs.gov/developer/ncvs/householdFields.cfm" TargetMode="External"/><Relationship Id="rId4" Type="http://schemas.openxmlformats.org/officeDocument/2006/relationships/webSettings" Target="webSettings.xml"/><Relationship Id="rId9" Type="http://schemas.openxmlformats.org/officeDocument/2006/relationships/hyperlink" Target="https://www.bjs.gov/developer/ncvs/householdFields.cfm" TargetMode="External"/><Relationship Id="rId14" Type="http://schemas.openxmlformats.org/officeDocument/2006/relationships/hyperlink" Target="https://www.bjs.gov/developer/ncvs/householdFields.cfm" TargetMode="External"/><Relationship Id="rId22" Type="http://schemas.openxmlformats.org/officeDocument/2006/relationships/hyperlink" Target="https://www.bjs.gov/developer/ncvs/householdFields.cfm" TargetMode="External"/><Relationship Id="rId27" Type="http://schemas.openxmlformats.org/officeDocument/2006/relationships/hyperlink" Target="https://www.bjs.gov/developer/ncvs/householdFields.cfm" TargetMode="External"/><Relationship Id="rId30" Type="http://schemas.openxmlformats.org/officeDocument/2006/relationships/hyperlink" Target="https://www.bjs.gov/developer/ncvs/householdFields.cfm" TargetMode="External"/><Relationship Id="rId35" Type="http://schemas.openxmlformats.org/officeDocument/2006/relationships/hyperlink" Target="https://www.bjs.gov/developer/ncvs/householdFields.cfm" TargetMode="External"/><Relationship Id="rId8" Type="http://schemas.openxmlformats.org/officeDocument/2006/relationships/hyperlink" Target="https://www.bjs.gov/developer/ncvs/householdFields.cf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2019</Words>
  <Characters>11511</Characters>
  <Application>Microsoft Office Word</Application>
  <DocSecurity>0</DocSecurity>
  <Lines>95</Lines>
  <Paragraphs>27</Paragraphs>
  <ScaleCrop>false</ScaleCrop>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Cortez</dc:creator>
  <cp:keywords/>
  <dc:description/>
  <cp:lastModifiedBy>Loretta Cortez</cp:lastModifiedBy>
  <cp:revision>1</cp:revision>
  <dcterms:created xsi:type="dcterms:W3CDTF">2020-06-08T19:13:00Z</dcterms:created>
  <dcterms:modified xsi:type="dcterms:W3CDTF">2020-06-08T19:15:00Z</dcterms:modified>
</cp:coreProperties>
</file>