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sz w:val="44"/>
        </w:rPr>
        <w:t>Hornelore Memory-Truth Outline</w:t>
      </w:r>
    </w:p>
    <w:p>
      <w:pPr>
        <w:spacing w:before="0" w:after="200"/>
      </w:pPr>
      <w:r>
        <w:rPr>
          <w:rFonts w:ascii="Arial" w:hAnsi="Arial"/>
          <w:b w:val="0"/>
          <w:i/>
          <w:color w:val="555555"/>
          <w:sz w:val="24"/>
        </w:rPr>
        <w:t>Shadow Archive, Proposal Layer, Human Review, and Promoted Truth for Hornelore</w:t>
      </w:r>
    </w:p>
    <w:p>
      <w:pPr>
        <w:spacing w:before="240" w:after="80"/>
      </w:pPr>
      <w:r>
        <w:rPr>
          <w:rFonts w:ascii="Arial" w:hAnsi="Arial"/>
          <w:b/>
          <w:i w:val="0"/>
          <w:color w:val="1F3864"/>
          <w:sz w:val="30"/>
        </w:rPr>
        <w:t>Core principle</w:t>
      </w:r>
    </w:p>
    <w:p>
      <w:pPr>
        <w:spacing w:before="40" w:after="60" w:line="276" w:lineRule="auto"/>
      </w:pPr>
      <w:r>
        <w:rPr>
          <w:rFonts w:ascii="Arial" w:hAnsi="Arial"/>
          <w:b w:val="0"/>
          <w:i w:val="0"/>
          <w:sz w:val="20"/>
        </w:rPr>
        <w:t>Hornelore should preserve raw source material exactly as received, allow Lori to help organize and extract structure from it, and require human approval before anything flows into the promoted truth that downstream views rely on. The current architecture collapses all three layers into a single fact row written directly to SQLite at chat time, which is why the present 15 rows in the facts table are a mix of truncated, misattributed, and stress-test-contaminated material. The memory-truth model separates these layers and makes promotion an explicit human act.</w:t>
      </w:r>
    </w:p>
    <w:p>
      <w:pPr>
        <w:spacing w:before="240" w:after="80"/>
      </w:pPr>
      <w:r>
        <w:rPr>
          <w:rFonts w:ascii="Arial" w:hAnsi="Arial"/>
          <w:b/>
          <w:i w:val="0"/>
          <w:color w:val="1F3864"/>
          <w:sz w:val="30"/>
        </w:rPr>
        <w:t>A. Shadow Archive</w:t>
      </w:r>
    </w:p>
    <w:p>
      <w:pPr>
        <w:spacing w:before="40" w:after="60" w:line="276" w:lineRule="auto"/>
      </w:pPr>
      <w:r>
        <w:rPr>
          <w:rFonts w:ascii="Arial" w:hAnsi="Arial"/>
          <w:b w:val="0"/>
          <w:i w:val="0"/>
          <w:sz w:val="20"/>
        </w:rPr>
        <w:t>Preserve all raw input exactly as received. Includes chat transcripts, uploaded PDFs, photo scans, pasted family-truth notes, imported review tables, and the narrator's own typed family-history material. Raw material is append-only and never overwritten by extractor output. This is the source of truth that a reviewer can always return to when a promoted fact is challenged.</w:t>
      </w:r>
    </w:p>
    <w:p>
      <w:pPr>
        <w:spacing w:before="240" w:after="80"/>
      </w:pPr>
      <w:r>
        <w:rPr>
          <w:rFonts w:ascii="Arial" w:hAnsi="Arial"/>
          <w:b/>
          <w:i w:val="0"/>
          <w:color w:val="1F3864"/>
          <w:sz w:val="30"/>
        </w:rPr>
        <w:t>B. Proposal Layer</w:t>
      </w:r>
    </w:p>
    <w:p>
      <w:pPr>
        <w:spacing w:before="40" w:after="60" w:line="276" w:lineRule="auto"/>
      </w:pPr>
      <w:r>
        <w:rPr>
          <w:rFonts w:ascii="Arial" w:hAnsi="Arial"/>
          <w:b w:val="0"/>
          <w:i w:val="0"/>
          <w:sz w:val="20"/>
        </w:rPr>
        <w:t>Let Hornelore extract structure from shadow material without claiming the result is final truth. Every proposed row keeps a pointer to the raw fragment it came from, a confidence score, a narrative role (setup, inciting, escalation, climax, resolution, reflection), and a meaning tag set. Proposals live in a separate table from promoted truth and never appear in Family Tree, Peek at Memoir, or the memoir export until a human acts on them.</w:t>
      </w:r>
    </w:p>
    <w:p>
      <w:pPr>
        <w:spacing w:before="240" w:after="80"/>
      </w:pPr>
      <w:r>
        <w:rPr>
          <w:rFonts w:ascii="Arial" w:hAnsi="Arial"/>
          <w:b/>
          <w:i w:val="0"/>
          <w:color w:val="1F3864"/>
          <w:sz w:val="30"/>
        </w:rPr>
        <w:t>C. Human in the loop</w:t>
      </w:r>
    </w:p>
    <w:p>
      <w:pPr>
        <w:spacing w:before="40" w:after="60" w:line="276" w:lineRule="auto"/>
      </w:pPr>
      <w:r>
        <w:rPr>
          <w:rFonts w:ascii="Arial" w:hAnsi="Arial"/>
          <w:b w:val="0"/>
          <w:i w:val="0"/>
          <w:sz w:val="20"/>
        </w:rPr>
        <w:t>Keep human judgment in control of what becomes truth. Each proposal row carries one of five review statuses:</w:t>
      </w:r>
    </w:p>
    <w:p>
      <w:pPr>
        <w:pStyle w:val="ListBullet"/>
        <w:spacing w:before="20" w:after="20" w:line="276" w:lineRule="auto"/>
      </w:pPr>
      <w:r>
        <w:rPr>
          <w:rFonts w:ascii="Arial" w:hAnsi="Arial"/>
          <w:b w:val="0"/>
          <w:i w:val="0"/>
          <w:sz w:val="20"/>
        </w:rPr>
        <w:t>Approve — use as-is.</w:t>
      </w:r>
    </w:p>
    <w:p>
      <w:pPr>
        <w:pStyle w:val="ListBullet"/>
        <w:spacing w:before="20" w:after="20" w:line="276" w:lineRule="auto"/>
      </w:pPr>
      <w:r>
        <w:rPr>
          <w:rFonts w:ascii="Arial" w:hAnsi="Arial"/>
          <w:b w:val="0"/>
          <w:i w:val="0"/>
          <w:sz w:val="20"/>
        </w:rPr>
        <w:t>Approve with qualification — promote but record the qualification text.</w:t>
      </w:r>
    </w:p>
    <w:p>
      <w:pPr>
        <w:pStyle w:val="ListBullet"/>
        <w:spacing w:before="20" w:after="20" w:line="276" w:lineRule="auto"/>
      </w:pPr>
      <w:r>
        <w:rPr>
          <w:rFonts w:ascii="Arial" w:hAnsi="Arial"/>
          <w:b w:val="0"/>
          <w:i w:val="0"/>
          <w:sz w:val="20"/>
        </w:rPr>
        <w:t>Needs verification — keep visible to the reviewer, do not promote.</w:t>
      </w:r>
    </w:p>
    <w:p>
      <w:pPr>
        <w:pStyle w:val="ListBullet"/>
        <w:spacing w:before="20" w:after="20" w:line="276" w:lineRule="auto"/>
      </w:pPr>
      <w:r>
        <w:rPr>
          <w:rFonts w:ascii="Arial" w:hAnsi="Arial"/>
          <w:b w:val="0"/>
          <w:i w:val="0"/>
          <w:sz w:val="20"/>
        </w:rPr>
        <w:t>Source note only — leave in shadow archive as context, never promote.</w:t>
      </w:r>
    </w:p>
    <w:p>
      <w:pPr>
        <w:pStyle w:val="ListBullet"/>
        <w:spacing w:before="20" w:after="20" w:line="276" w:lineRule="auto"/>
      </w:pPr>
      <w:r>
        <w:rPr>
          <w:rFonts w:ascii="Arial" w:hAnsi="Arial"/>
          <w:b w:val="0"/>
          <w:i w:val="0"/>
          <w:sz w:val="20"/>
        </w:rPr>
        <w:t>Reject — archive with rejection reason, never promote.</w:t>
      </w:r>
    </w:p>
    <w:p>
      <w:pPr>
        <w:spacing w:before="240" w:after="80"/>
      </w:pPr>
      <w:r>
        <w:rPr>
          <w:rFonts w:ascii="Arial" w:hAnsi="Arial"/>
          <w:b/>
          <w:i w:val="0"/>
          <w:color w:val="1F3864"/>
          <w:sz w:val="30"/>
        </w:rPr>
        <w:t>D. Promoted Truth</w:t>
      </w:r>
    </w:p>
    <w:p>
      <w:pPr>
        <w:spacing w:before="40" w:after="60" w:line="276" w:lineRule="auto"/>
      </w:pPr>
      <w:r>
        <w:rPr>
          <w:rFonts w:ascii="Arial" w:hAnsi="Arial"/>
          <w:b w:val="0"/>
          <w:i w:val="0"/>
          <w:sz w:val="20"/>
        </w:rPr>
        <w:t>The trusted layer used by Family Tree, Peek at Memoir, the memoir DOCX/TXT export, the rolling summary, and any descendant-facing summary. Only rows with status Approve or Approve-with-qualification promote. Promotion preserves a back-pointer to the proposal row and through it to the shadow archive, so any promoted fact can be audited end-to-end.</w:t>
      </w:r>
    </w:p>
    <w:p>
      <w:pPr>
        <w:spacing w:before="240" w:after="80"/>
      </w:pPr>
      <w:r>
        <w:rPr>
          <w:rFonts w:ascii="Arial" w:hAnsi="Arial"/>
          <w:b/>
          <w:i w:val="0"/>
          <w:color w:val="1F3864"/>
          <w:sz w:val="30"/>
        </w:rPr>
        <w:t>E. What Lori should do (and admit)</w:t>
      </w:r>
    </w:p>
    <w:p>
      <w:pPr>
        <w:spacing w:before="40" w:after="60" w:line="276" w:lineRule="auto"/>
      </w:pPr>
      <w:r>
        <w:rPr>
          <w:rFonts w:ascii="Arial" w:hAnsi="Arial"/>
          <w:b w:val="0"/>
          <w:i w:val="0"/>
          <w:sz w:val="20"/>
        </w:rPr>
        <w:t>Lori may read shadow material, proposal rows, and promoted truth. Lori must:</w:t>
      </w:r>
    </w:p>
    <w:p>
      <w:pPr>
        <w:pStyle w:val="ListBullet"/>
        <w:spacing w:before="20" w:after="20" w:line="276" w:lineRule="auto"/>
      </w:pPr>
      <w:r>
        <w:rPr>
          <w:rFonts w:ascii="Arial" w:hAnsi="Arial"/>
          <w:b w:val="0"/>
          <w:i w:val="0"/>
          <w:sz w:val="20"/>
        </w:rPr>
        <w:t>Distinguish between raw source, proposal, and reviewed truth when asked.</w:t>
      </w:r>
    </w:p>
    <w:p>
      <w:pPr>
        <w:pStyle w:val="ListBullet"/>
        <w:spacing w:before="20" w:after="20" w:line="276" w:lineRule="auto"/>
      </w:pPr>
      <w:r>
        <w:rPr>
          <w:rFonts w:ascii="Arial" w:hAnsi="Arial"/>
          <w:b w:val="0"/>
          <w:i w:val="0"/>
          <w:sz w:val="20"/>
        </w:rPr>
        <w:t>Acknowledge that she can make mistakes and that her extractions are proposals, not final truth.</w:t>
      </w:r>
    </w:p>
    <w:p>
      <w:pPr>
        <w:pStyle w:val="ListBullet"/>
        <w:spacing w:before="20" w:after="20" w:line="276" w:lineRule="auto"/>
      </w:pPr>
      <w:r>
        <w:rPr>
          <w:rFonts w:ascii="Arial" w:hAnsi="Arial"/>
          <w:b w:val="0"/>
          <w:i w:val="0"/>
          <w:sz w:val="20"/>
        </w:rPr>
        <w:t>Invite the narrator or reviewer to correct details Lori has surfaced.</w:t>
      </w:r>
    </w:p>
    <w:p>
      <w:pPr>
        <w:pStyle w:val="ListBullet"/>
        <w:spacing w:before="20" w:after="20" w:line="276" w:lineRule="auto"/>
      </w:pPr>
      <w:r>
        <w:rPr>
          <w:rFonts w:ascii="Arial" w:hAnsi="Arial"/>
          <w:b w:val="0"/>
          <w:i w:val="0"/>
          <w:sz w:val="20"/>
        </w:rPr>
        <w:t>Explain the review model plainly when the narrator asks what Lori thinks she knows.</w:t>
      </w:r>
    </w:p>
    <w:p>
      <w:pPr>
        <w:pStyle w:val="ListBullet"/>
        <w:spacing w:before="20" w:after="20" w:line="276" w:lineRule="auto"/>
      </w:pPr>
      <w:r>
        <w:rPr>
          <w:rFonts w:ascii="Arial" w:hAnsi="Arial"/>
          <w:b w:val="0"/>
          <w:i w:val="0"/>
          <w:sz w:val="20"/>
        </w:rPr>
        <w:t>Never imply that an unreviewed row is a confirmed fact.</w:t>
      </w:r>
    </w:p>
    <w:p>
      <w:pPr>
        <w:spacing w:before="240" w:after="80"/>
      </w:pPr>
      <w:r>
        <w:rPr>
          <w:rFonts w:ascii="Arial" w:hAnsi="Arial"/>
          <w:b/>
          <w:i w:val="0"/>
          <w:color w:val="1F3864"/>
          <w:sz w:val="30"/>
        </w:rPr>
        <w:t>F. New Bio Builder parts</w:t>
      </w:r>
    </w:p>
    <w:p>
      <w:pPr>
        <w:spacing w:before="40" w:after="60" w:line="276" w:lineRule="auto"/>
      </w:pPr>
      <w:r>
        <w:rPr>
          <w:rFonts w:ascii="Arial" w:hAnsi="Arial"/>
          <w:b w:val="0"/>
          <w:i w:val="0"/>
          <w:sz w:val="20"/>
        </w:rPr>
        <w:t>Two new containers in the Bio Builder schema, parallel to the existing facts/profile structure:</w:t>
      </w:r>
    </w:p>
    <w:p>
      <w:pPr>
        <w:pStyle w:val="ListBullet"/>
        <w:spacing w:before="20" w:after="20" w:line="276" w:lineRule="auto"/>
      </w:pPr>
      <w:r>
        <w:rPr>
          <w:rFonts w:ascii="Arial" w:hAnsi="Arial"/>
          <w:b w:val="0"/>
          <w:i w:val="0"/>
          <w:sz w:val="20"/>
        </w:rPr>
        <w:t>familyTruthNotes — free-form narrative preserved exactly as entered. Holds family memory, source summaries, and reviewer corrections. Never edited by the extractor.</w:t>
      </w:r>
    </w:p>
    <w:p>
      <w:pPr>
        <w:pStyle w:val="ListBullet"/>
        <w:spacing w:before="20" w:after="20" w:line="276" w:lineRule="auto"/>
      </w:pPr>
      <w:r>
        <w:rPr>
          <w:rFonts w:ascii="Arial" w:hAnsi="Arial"/>
          <w:b w:val="0"/>
          <w:i w:val="0"/>
          <w:sz w:val="20"/>
        </w:rPr>
        <w:t>familyTruthRows — row-level review items with Person, Relationship/Role, Field, sourceSays, approvedValue, status, notes, reviewer, reviewedAt, and a pointer back to the originating note or document.</w:t>
      </w:r>
    </w:p>
    <w:p>
      <w:pPr>
        <w:spacing w:before="240" w:after="80"/>
      </w:pPr>
      <w:r>
        <w:rPr>
          <w:rFonts w:ascii="Arial" w:hAnsi="Arial"/>
          <w:b/>
          <w:i w:val="0"/>
          <w:color w:val="1F3864"/>
          <w:sz w:val="30"/>
        </w:rPr>
        <w:t>G. Why Kent's paternal line is the acceptance case</w:t>
      </w:r>
    </w:p>
    <w:p>
      <w:pPr>
        <w:spacing w:before="40" w:after="60" w:line="276" w:lineRule="auto"/>
      </w:pPr>
      <w:r>
        <w:rPr>
          <w:rFonts w:ascii="Arial" w:hAnsi="Arial"/>
          <w:b w:val="0"/>
          <w:i w:val="0"/>
          <w:sz w:val="20"/>
        </w:rPr>
        <w:t>Kent Horne's paternal Elizabeth Shong / Horne branch is the real-world acceptance case because it contains every edge case the memory-truth model needs to handle:</w:t>
      </w:r>
    </w:p>
    <w:p>
      <w:pPr>
        <w:pStyle w:val="ListBullet"/>
        <w:spacing w:before="20" w:after="20" w:line="276" w:lineRule="auto"/>
      </w:pPr>
      <w:r>
        <w:rPr>
          <w:rFonts w:ascii="Arial" w:hAnsi="Arial"/>
          <w:b w:val="0"/>
          <w:i w:val="0"/>
          <w:sz w:val="20"/>
        </w:rPr>
        <w:t>Source-backed names and dates from a family history document.</w:t>
      </w:r>
    </w:p>
    <w:p>
      <w:pPr>
        <w:pStyle w:val="ListBullet"/>
        <w:spacing w:before="20" w:after="20" w:line="276" w:lineRule="auto"/>
      </w:pPr>
      <w:r>
        <w:rPr>
          <w:rFonts w:ascii="Arial" w:hAnsi="Arial"/>
          <w:b w:val="0"/>
          <w:i w:val="0"/>
          <w:sz w:val="20"/>
        </w:rPr>
        <w:t>Family-authority corrections that override the source (e.g., name spellings).</w:t>
      </w:r>
    </w:p>
    <w:p>
      <w:pPr>
        <w:pStyle w:val="ListBullet"/>
        <w:spacing w:before="20" w:after="20" w:line="276" w:lineRule="auto"/>
      </w:pPr>
      <w:r>
        <w:rPr>
          <w:rFonts w:ascii="Arial" w:hAnsi="Arial"/>
          <w:b w:val="0"/>
          <w:i w:val="0"/>
          <w:sz w:val="20"/>
        </w:rPr>
        <w:t>Alternate spellings — Erwin vs Ervin, Leila vs Leilo, Mertyle vs Myrtle.</w:t>
      </w:r>
    </w:p>
    <w:p>
      <w:pPr>
        <w:pStyle w:val="ListBullet"/>
        <w:spacing w:before="20" w:after="20" w:line="276" w:lineRule="auto"/>
      </w:pPr>
      <w:r>
        <w:rPr>
          <w:rFonts w:ascii="Arial" w:hAnsi="Arial"/>
          <w:b w:val="0"/>
          <w:i w:val="0"/>
          <w:sz w:val="20"/>
        </w:rPr>
        <w:t>Family-used names vs source-documented legal names.</w:t>
      </w:r>
    </w:p>
    <w:p>
      <w:pPr>
        <w:pStyle w:val="ListBullet"/>
        <w:spacing w:before="20" w:after="20" w:line="276" w:lineRule="auto"/>
      </w:pPr>
      <w:r>
        <w:rPr>
          <w:rFonts w:ascii="Arial" w:hAnsi="Arial"/>
          <w:b w:val="0"/>
          <w:i w:val="0"/>
          <w:sz w:val="20"/>
        </w:rPr>
        <w:t>A second marriage with its own set of children.</w:t>
      </w:r>
    </w:p>
    <w:p>
      <w:pPr>
        <w:pStyle w:val="ListBullet"/>
        <w:spacing w:before="20" w:after="20" w:line="276" w:lineRule="auto"/>
      </w:pPr>
      <w:r>
        <w:rPr>
          <w:rFonts w:ascii="Arial" w:hAnsi="Arial"/>
          <w:b w:val="0"/>
          <w:i w:val="0"/>
          <w:sz w:val="20"/>
        </w:rPr>
        <w:t>Children who died young (Phyllis, Isabel) who must not be dropped.</w:t>
      </w:r>
    </w:p>
    <w:p>
      <w:pPr>
        <w:pStyle w:val="ListBullet"/>
        <w:spacing w:before="20" w:after="20" w:line="276" w:lineRule="auto"/>
      </w:pPr>
      <w:r>
        <w:rPr>
          <w:rFonts w:ascii="Arial" w:hAnsi="Arial"/>
          <w:b w:val="0"/>
          <w:i w:val="0"/>
          <w:sz w:val="20"/>
        </w:rPr>
        <w:t>Migration path France → Wisconsin → North Dakota.</w:t>
      </w:r>
    </w:p>
    <w:p>
      <w:pPr>
        <w:pStyle w:val="ListBullet"/>
        <w:spacing w:before="20" w:after="20" w:line="276" w:lineRule="auto"/>
      </w:pPr>
      <w:r>
        <w:rPr>
          <w:rFonts w:ascii="Arial" w:hAnsi="Arial"/>
          <w:b w:val="0"/>
          <w:i w:val="0"/>
          <w:sz w:val="20"/>
        </w:rPr>
        <w:t>Unresolved descendant placement on the document continuation page.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