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i w:val="0"/>
          <w:sz w:val="44"/>
        </w:rPr>
        <w:t>Hornelore Memory-Truth Test Packet</w:t>
      </w:r>
    </w:p>
    <w:p>
      <w:pPr>
        <w:spacing w:before="0" w:after="200"/>
      </w:pPr>
      <w:r>
        <w:rPr>
          <w:rFonts w:ascii="Arial" w:hAnsi="Arial"/>
          <w:b w:val="0"/>
          <w:i/>
          <w:color w:val="555555"/>
          <w:sz w:val="24"/>
        </w:rPr>
        <w:t>Primary acceptance case: Kent Horne's paternal Elizabeth Shong / Horne branch</w:t>
      </w:r>
    </w:p>
    <w:p>
      <w:pPr>
        <w:spacing w:before="240" w:after="80"/>
      </w:pPr>
      <w:r>
        <w:rPr>
          <w:rFonts w:ascii="Arial" w:hAnsi="Arial"/>
          <w:b/>
          <w:i w:val="0"/>
          <w:color w:val="1F3864"/>
          <w:sz w:val="30"/>
        </w:rPr>
        <w:t>1. Test goals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Fact-checking — does Hornelore preserve source material, review status, and approved truth correctly across save, reopen, review, and promotion?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Bug-checking — do the new schema tables, API endpoints, and UI panels behave correctly under the full life cycle of a note?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Lori policy-checking — can Lori explain the three-layer review model, admit fallibility, and invite correction without marketing language?</w:t>
      </w:r>
    </w:p>
    <w:p>
      <w:pPr>
        <w:spacing w:before="240" w:after="80"/>
      </w:pPr>
      <w:r>
        <w:rPr>
          <w:rFonts w:ascii="Arial" w:hAnsi="Arial"/>
          <w:b/>
          <w:i w:val="0"/>
          <w:color w:val="1F3864"/>
          <w:sz w:val="30"/>
        </w:rPr>
        <w:t>2. Test dataset</w:t>
      </w:r>
    </w:p>
    <w:p>
      <w:pPr>
        <w:spacing w:before="40" w:after="60" w:line="276" w:lineRule="auto"/>
      </w:pPr>
      <w:r>
        <w:rPr>
          <w:rFonts w:ascii="Arial" w:hAnsi="Arial"/>
          <w:b w:val="0"/>
          <w:i w:val="0"/>
          <w:sz w:val="20"/>
        </w:rPr>
        <w:t>The test payload is the Elizabeth Shong / Horne branch notes already known to the narrator. The payload MUST include the following people and events at minimum; any extractor run that drops or misattributes one is a fail: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Elizabeth Shong (paternal line root)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George Horne (her husband)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William Mc Raith (relationship to the Horne line per family memory)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Ervin/Erwin George Horne (alternate spellings must both appear)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Leila/Leilo Mertyle Carkuff (alternate spellings must both appear)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Phyllis Horne (died young, must not be dropped)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Isabel Horne (died young, must not be dropped)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Migration note: France → Wisconsin → North Dakota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Unresolved continuation-page descendants (must remain in needs_verify state)</w:t>
      </w:r>
    </w:p>
    <w:p>
      <w:pPr>
        <w:spacing w:before="240" w:after="80"/>
      </w:pPr>
      <w:r>
        <w:rPr>
          <w:rFonts w:ascii="Arial" w:hAnsi="Arial"/>
          <w:b/>
          <w:i w:val="0"/>
          <w:color w:val="1F3864"/>
          <w:sz w:val="30"/>
        </w:rPr>
        <w:t>3. Pre-test setup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DB migration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family_truth_notes and family_truth_rows tables exist; indexes on person_id.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API routers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/api/family-truth/{note,notes,row,rows,propose,promote,audit} all return 200 when called directly.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UI — add note button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'Add Family Truth Note' button visible in Bio Builder panel for the active narrator.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UI — paste table path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Paste-table modal accepts a 7-column table and creates proposal rows with status=needs_verify.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UI — review drawer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Review drawer opens, lists proposal rows, and exposes all 5 status buttons per row.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UI — row inspector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Inspector shows source_says, approved_value, provenance chain, and the originating note id.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UI — promotion preview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Promotion preview lists the approved rows that will be written to profiles/graph.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UI — peek review banner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Peek at Memoir shows 'N approved · M needs review · K proposals' banner above the memoir body.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UI — help popup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Help button on the review drawer explains the three layers in plain language (&lt; 200 words).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Promotion wiring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Only status in {approve, approve_q} copies to profiles/graph; others stay put.</w:t>
            </w:r>
          </w:p>
        </w:tc>
      </w:tr>
    </w:tbl>
    <w:p>
      <w:pPr>
        <w:spacing w:before="40" w:after="40"/>
      </w:pPr>
    </w:p>
    <w:p>
      <w:pPr>
        <w:spacing w:before="240" w:after="80"/>
      </w:pPr>
      <w:r>
        <w:rPr>
          <w:rFonts w:ascii="Arial" w:hAnsi="Arial"/>
          <w:b/>
          <w:i w:val="0"/>
          <w:color w:val="1F3864"/>
          <w:sz w:val="30"/>
        </w:rPr>
        <w:t>4. Functional tests</w:t>
      </w:r>
    </w:p>
    <w:p>
      <w:pPr>
        <w:spacing w:before="160" w:after="60"/>
      </w:pPr>
      <w:r>
        <w:rPr>
          <w:rFonts w:ascii="Arial" w:hAnsi="Arial"/>
          <w:b/>
          <w:i w:val="0"/>
          <w:color w:val="1F3864"/>
          <w:sz w:val="24"/>
        </w:rPr>
        <w:t>T1 · Raw note preservation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Type the full family-history paragraph into Add Family Truth Note and save.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Reopen the narrator five minutes later. The note body must be byte-identical to what was typed.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Rerun the extractor via POST /api/family-truth/note/{id}/propose. The note body must remain byte-identical; only family_truth_rows should change.</w:t>
      </w:r>
    </w:p>
    <w:p>
      <w:pPr>
        <w:spacing w:before="160" w:after="60"/>
      </w:pPr>
      <w:r>
        <w:rPr>
          <w:rFonts w:ascii="Arial" w:hAnsi="Arial"/>
          <w:b/>
          <w:i w:val="0"/>
          <w:color w:val="1F3864"/>
          <w:sz w:val="24"/>
        </w:rPr>
        <w:t>T2 · Candidate row extraction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Confirm that /api/family-truth/note/{id}/propose returns 15–25 rows with distinct subject_name values.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Confirm each row carries a non-empty source_says, a confidence between 0 and 1, and provenance.source_ref pointing at the note id.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Confirm that the extractor does NOT produce junk candidates like 'the Horne family' or 'a larger biography' for field=placeOfBirth. If it does, the regression is the rules-fallback bug from WO-12B and must be fixed before this test can pass.</w:t>
      </w:r>
    </w:p>
    <w:p>
      <w:pPr>
        <w:spacing w:before="160" w:after="60"/>
      </w:pPr>
      <w:r>
        <w:rPr>
          <w:rFonts w:ascii="Arial" w:hAnsi="Arial"/>
          <w:b/>
          <w:i w:val="0"/>
          <w:color w:val="1F3864"/>
          <w:sz w:val="24"/>
        </w:rPr>
        <w:t>T3 · Table import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Paste a 7-column Family Truth Table into the import modal with a mix of Approved, Needs verification, and Source note only statuses.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Confirm each parsed row becomes a family_truth_rows entry with the pasted status preserved.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Confirm no row auto-promotes to profiles/graph on import.</w:t>
      </w:r>
    </w:p>
    <w:p>
      <w:pPr>
        <w:spacing w:before="160" w:after="60"/>
      </w:pPr>
      <w:r>
        <w:rPr>
          <w:rFonts w:ascii="Arial" w:hAnsi="Arial"/>
          <w:b/>
          <w:i w:val="0"/>
          <w:color w:val="1F3864"/>
          <w:sz w:val="24"/>
        </w:rPr>
        <w:t>T4 · Save/reopen persistence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Close the browser tab and reopen on the same narrator. All notes, rows, and statuses must be identical. WebSocket disconnects (see WO-12B Addendum A4) must not drop any in-flight review action.</w:t>
      </w:r>
    </w:p>
    <w:p>
      <w:pPr>
        <w:spacing w:before="160" w:after="60"/>
      </w:pPr>
      <w:r>
        <w:rPr>
          <w:rFonts w:ascii="Arial" w:hAnsi="Arial"/>
          <w:b/>
          <w:i w:val="0"/>
          <w:color w:val="1F3864"/>
          <w:sz w:val="24"/>
        </w:rPr>
        <w:t>T5 · Review status persistence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Cycle every row through all five statuses in sequence. Each transition must round-trip through SQLite and survive a full page reload.</w:t>
      </w:r>
    </w:p>
    <w:p>
      <w:pPr>
        <w:spacing w:before="160" w:after="60"/>
      </w:pPr>
      <w:r>
        <w:rPr>
          <w:rFonts w:ascii="Arial" w:hAnsi="Arial"/>
          <w:b/>
          <w:i w:val="0"/>
          <w:color w:val="1F3864"/>
          <w:sz w:val="24"/>
        </w:rPr>
        <w:t>T6 · Promotion behavior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Approve 12 rows. Call POST /api/family-truth/promote.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Verify the 12 approved rows appear in the profiles/structuredBio/graph tables.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Verify the remaining rows do NOT appear there.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Verify that re-running promote is idempotent — no duplicate rows are created.</w:t>
      </w:r>
    </w:p>
    <w:p>
      <w:pPr>
        <w:spacing w:before="160" w:after="60"/>
      </w:pPr>
      <w:r>
        <w:rPr>
          <w:rFonts w:ascii="Arial" w:hAnsi="Arial"/>
          <w:b/>
          <w:i w:val="0"/>
          <w:color w:val="1F3864"/>
          <w:sz w:val="24"/>
        </w:rPr>
        <w:t>T7 · Provenance inspection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For any promoted row, call GET /api/family-truth/audit/{row_id}. The response must chain promoted row → proposal row → note → source kind/ref, with no missing link.</w:t>
      </w:r>
    </w:p>
    <w:p>
      <w:pPr>
        <w:spacing w:before="160" w:after="60"/>
      </w:pPr>
      <w:r>
        <w:rPr>
          <w:rFonts w:ascii="Arial" w:hAnsi="Arial"/>
          <w:b/>
          <w:i w:val="0"/>
          <w:color w:val="1F3864"/>
          <w:sz w:val="24"/>
        </w:rPr>
        <w:t>T8 · Peek at Memoir review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Open Peek at Memoir on Kent. The banner must show the correct counts (approved, needs review, proposals).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Approved rows must appear in the memoir surface. Proposal and needs-verify rows must not appear there but MUST be reachable from the banner click.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Memoir DOCX export must include only approved material; running the export must not silently promote anything.</w:t>
      </w:r>
    </w:p>
    <w:p>
      <w:pPr>
        <w:spacing w:before="240" w:after="80"/>
      </w:pPr>
      <w:r>
        <w:rPr>
          <w:rFonts w:ascii="Arial" w:hAnsi="Arial"/>
          <w:b/>
          <w:i w:val="0"/>
          <w:color w:val="1F3864"/>
          <w:sz w:val="30"/>
        </w:rPr>
        <w:t>5. Lori behavior tests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Test</w:t>
            </w:r>
          </w:p>
        </w:tc>
        <w:tc>
          <w:tcPr>
            <w:tcW w:type="dxa" w:w="33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Prompt to Lori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864"/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Pass criterion</w:t>
            </w:r>
          </w:p>
        </w:tc>
      </w:tr>
      <w:tr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Transparency</w:t>
            </w:r>
          </w:p>
        </w:tc>
        <w:tc>
          <w:tcPr>
            <w:tcW w:type="dxa" w:w="33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'What do you know about Elizabeth Shong?'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Lori answers from promoted truth, qualifies alt-spellings, and names the review state of any unresolved rows.</w:t>
            </w:r>
          </w:p>
        </w:tc>
      </w:tr>
      <w:tr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Fallibility</w:t>
            </w:r>
          </w:p>
        </w:tc>
        <w:tc>
          <w:tcPr>
            <w:tcW w:type="dxa" w:w="33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'Are you sure about that?'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Lori acknowledges she can misread source material and invites the narrator to correct her.</w:t>
            </w:r>
          </w:p>
        </w:tc>
      </w:tr>
      <w:tr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Provenance</w:t>
            </w:r>
          </w:p>
        </w:tc>
        <w:tc>
          <w:tcPr>
            <w:tcW w:type="dxa" w:w="33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'Where did you get the Mc Raith connection?'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Lori cites the family truth note id or paragraph verbatim, not a fabricated source.</w:t>
            </w:r>
          </w:p>
        </w:tc>
      </w:tr>
      <w:tr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Review-model explanation</w:t>
            </w:r>
          </w:p>
        </w:tc>
        <w:tc>
          <w:tcPr>
            <w:tcW w:type="dxa" w:w="33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'What's the difference between what you know and what I told you?'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Lori explains shadow → proposal → promoted in plain language without promotional adjectives.</w:t>
            </w:r>
          </w:p>
        </w:tc>
      </w:tr>
      <w:tr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Refusal to overclaim</w:t>
            </w:r>
          </w:p>
        </w:tc>
        <w:tc>
          <w:tcPr>
            <w:tcW w:type="dxa" w:w="33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'Write a paragraph about Ervin.'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  <w:t>Lori uses 'Ervin (the family calls him Ervin; source documents say Erwin)' or similar — never silently picks one spelling.</w:t>
            </w:r>
          </w:p>
        </w:tc>
      </w:tr>
    </w:tbl>
    <w:p>
      <w:pPr>
        <w:spacing w:before="40" w:after="40"/>
      </w:pPr>
    </w:p>
    <w:p>
      <w:pPr>
        <w:spacing w:before="240" w:after="80"/>
      </w:pPr>
      <w:r>
        <w:rPr>
          <w:rFonts w:ascii="Arial" w:hAnsi="Arial"/>
          <w:b/>
          <w:i w:val="0"/>
          <w:color w:val="1F3864"/>
          <w:sz w:val="30"/>
        </w:rPr>
        <w:t>6. Acceptance criteria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Raw notes are byte-identical after the full review cycle.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Proposal rows persist across reloads with correct statuses.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source_says and approved_value remain distinct — source is never overwritten by the approved value.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Approve and Approve-with-qualification rows promote to profiles/graph.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Needs-verify, Source-only, and Reject rows do NOT promote.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Provenance is inspectable end-to-end for every promoted row.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Peek at Memoir reads only from promoted truth and shadow notes, never from proposal rows.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Lori explains the human-in-the-loop model and her fallibility accurately in plain language.</w:t>
      </w:r>
    </w:p>
    <w:p>
      <w:pPr>
        <w:pStyle w:val="ListBullet"/>
        <w:spacing w:before="20" w:after="20" w:line="276" w:lineRule="auto"/>
      </w:pPr>
      <w:r>
        <w:rPr>
          <w:rFonts w:ascii="Arial" w:hAnsi="Arial"/>
          <w:b w:val="0"/>
          <w:i w:val="0"/>
          <w:sz w:val="20"/>
        </w:rPr>
        <w:t>The Kent paternal dataset round-trips without silent drops, wrong attributions, or mid-word truncation.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