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60"/>
      </w:pPr>
      <w:r>
        <w:rPr>
          <w:rFonts w:ascii="Arial" w:cs="Arial" w:eastAsia="Arial" w:hAnsi="Arial"/>
          <w:b/>
          <w:bCs/>
          <w:color w:val="2E4057"/>
          <w:sz w:val="40"/>
          <w:szCs w:val="40"/>
        </w:rPr>
        <w:t xml:space="preserve">Lorevox 7.1 — Live Validation Report</w:t>
      </w:r>
    </w:p>
    <w:p>
      <w:pPr>
        <w:pBdr>
          <w:bottom w:val="single" w:color="2E4057" w:sz="6" w:space="4"/>
        </w:pBdr>
        <w:spacing w:after="400"/>
      </w:pPr>
      <w:r>
        <w:rPr>
          <w:rFonts w:ascii="Arial" w:cs="Arial" w:eastAsia="Arial" w:hAnsi="Arial"/>
          <w:color w:val="666666"/>
          <w:sz w:val="20"/>
          <w:szCs w:val="20"/>
        </w:rPr>
        <w:t xml:space="preserve">Live behavioral test set — six core scenarios</w:t>
      </w:r>
    </w:p>
    <w:p>
      <w:pPr>
        <w:spacing w:before="300" w:after="120"/>
      </w:pPr>
      <w:r>
        <w:rPr>
          <w:rFonts w:ascii="Arial" w:cs="Arial" w:eastAsia="Arial" w:hAnsi="Arial"/>
          <w:b/>
          <w:bCs/>
          <w:color w:val="2E4057"/>
          <w:sz w:val="26"/>
          <w:szCs w:val="26"/>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2026-03-19</w:t>
            </w:r>
          </w:p>
        </w:tc>
      </w:tr>
      <w:tr>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Claude (automated via Cowork)</w:t>
            </w:r>
          </w:p>
        </w:tc>
      </w:tr>
      <w:tr>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UI</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file:///C:/Users/chris/lorevox/ui/lori7.1.html</w:t>
            </w:r>
          </w:p>
        </w:tc>
      </w:tr>
      <w:tr>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 / LLM</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live model responses observed</w:t>
            </w:r>
          </w:p>
        </w:tc>
      </w:tr>
      <w:tr>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verified during this run</w:t>
            </w:r>
          </w:p>
        </w:tc>
      </w:tr>
    </w:tbl>
    <w:p>
      <w:pPr>
        <w:spacing w:after="200"/>
      </w:pPr>
    </w:p>
    <w:p>
      <w:pPr>
        <w:spacing w:before="300" w:after="120"/>
      </w:pPr>
      <w:r>
        <w:rPr>
          <w:rFonts w:ascii="Arial" w:cs="Arial" w:eastAsia="Arial" w:hAnsi="Arial"/>
          <w:b/>
          <w:bCs/>
          <w:color w:val="2E4057"/>
          <w:sz w:val="26"/>
          <w:szCs w:val="26"/>
        </w:rPr>
        <w:t xml:space="preserve">Test Results</w:t>
      </w:r>
    </w:p>
    <w:p>
      <w:pPr>
        <w:spacing w:before="280" w:after="100"/>
      </w:pPr>
      <w:r>
        <w:rPr>
          <w:rFonts w:ascii="Arial" w:cs="Arial" w:eastAsia="Arial" w:hAnsi="Arial"/>
          <w:b/>
          <w:bCs/>
          <w:color w:val="2E4057"/>
          <w:sz w:val="22"/>
          <w:szCs w:val="22"/>
        </w:rPr>
        <w:t xml:space="preserve">Test 1 — Pass 1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person created — no DOB, no birthplace entered.</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 Lori, I'd like to tell my story."</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"That's wonderful. Before we begin, could you share when and where you were born?"</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Lori correctly remained in Pass 1. She asked for both DOB and birthplace before proceeding. No drift into life-story or memoir questions. Status badge confirmed: Pass 1 | No era | Open.</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bl>
    <w:p>
      <w:pPr>
        <w:spacing w:after="80"/>
      </w:pPr>
    </w:p>
    <w:p>
      <w:pPr>
        <w:spacing w:before="280" w:after="100"/>
      </w:pPr>
      <w:r>
        <w:rPr>
          <w:rFonts w:ascii="Arial" w:cs="Arial" w:eastAsia="Arial" w:hAnsi="Arial"/>
          <w:b/>
          <w:bCs/>
          <w:color w:val="2E4057"/>
          <w:sz w:val="22"/>
          <w:szCs w:val="22"/>
        </w:rPr>
        <w:t xml:space="preserve">Test 2 — Timeline Seed → Pass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DOB: 1942-08-16, Birthplace: Topeka, Kansas — saved to profile.</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"Okay, let's begin."</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 sounds like you're ready to start. Let me just make sure I have everything set up properly. Now, could you tell me a bit about where you grew up and what your childhood home was like?"</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Lori shifted immediately to Pass 2A — Timeline Spine. Status badge updated to Pass 2A | Early Childhood. Life periods populated in sidebar (Early Childhood 1942, School Years 1948, etc.). Response is place-anchored and childhood-focused as expected.</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bl>
    <w:p>
      <w:pPr>
        <w:spacing w:after="80"/>
      </w:pPr>
    </w:p>
    <w:p>
      <w:pPr>
        <w:spacing w:before="280" w:after="100"/>
      </w:pPr>
      <w:r>
        <w:rPr>
          <w:rFonts w:ascii="Arial" w:cs="Arial" w:eastAsia="Arial" w:hAnsi="Arial"/>
          <w:b/>
          <w:bCs/>
          <w:color w:val="2E4057"/>
          <w:sz w:val="22"/>
          <w:szCs w:val="22"/>
        </w:rPr>
        <w:t xml:space="preserve">Test 3 — Era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Timeline seed active. Clicked “School Years” in the Life Periods sidebar.</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"Let's talk about that time."</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 love diving into memories. To get started, what do you remember about where you were living during your School Years?"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Era badge switched instantly to School Years on click. Lori’s question explicitly named “School Years” and was era-appropriate. No residual early-childhood framing. Current Prompt panel also updated immediately to a school-years-specific prompt.</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bl>
    <w:p>
      <w:pPr>
        <w:spacing w:after="80"/>
      </w:pPr>
    </w:p>
    <w:p>
      <w:pPr>
        <w:spacing w:before="280" w:after="100"/>
      </w:pPr>
      <w:r>
        <w:rPr>
          <w:rFonts w:ascii="Arial" w:cs="Arial" w:eastAsia="Arial" w:hAnsi="Arial"/>
          <w:b/>
          <w:bCs/>
          <w:color w:val="2E4057"/>
          <w:sz w:val="22"/>
          <w:szCs w:val="22"/>
        </w:rPr>
        <w:t xml:space="preserve">Test 4 — Pass 2A vs Pass 2B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 A: Chronological — Pass 2A active. Part B: Switched to Thematic — Pass 2B.</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"Tell me more." (sent once in each mode)</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 2A: "You're getting into the rhythm now. What do you remember about your family's daily routine while you were growing up?"
Pass 2B: "You're starting to open up. Can you walk me through what a typical morning looked like in your household when you were a child, maybe around age 8 or 9?"</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clear distinction exists between the two modes. Pass 2A produced a broad, open-ended timeline question (daily routine, growing up generally). Pass 2B produced a scene-specific prompt with a concrete age anchor (age 8 or 9, a specific morning). The Current Prompt panel also updated on mode switch to "What is one vivid memory from your school years…" confirming the directive change. Minor note: Pass 2B could push harder for a single vivid moment rather than a “typical morning” framing, which leans slightly chronological.</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composer wording (minor — Pass 2B scene instruction could be stronger)</w:t>
            </w:r>
          </w:p>
        </w:tc>
      </w:tr>
    </w:tbl>
    <w:p>
      <w:pPr>
        <w:spacing w:after="80"/>
      </w:pPr>
    </w:p>
    <w:p>
      <w:pPr>
        <w:spacing w:before="280" w:after="100"/>
      </w:pPr>
      <w:r>
        <w:rPr>
          <w:rFonts w:ascii="Arial" w:cs="Arial" w:eastAsia="Arial" w:hAnsi="Arial"/>
          <w:b/>
          <w:bCs/>
          <w:color w:val="2E4057"/>
          <w:sz w:val="22"/>
          <w:szCs w:val="22"/>
        </w:rPr>
        <w:t xml:space="preserve">Test 5 — Recognition Mode / Cognitive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manual state change required. Sent uncertainty language naturally.</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 not really sure. It's hard to remember."</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"Some memories can be tricky to recall. That's okay, let's try another approach. When you think of your childhood home, what's the first sense that comes to mind – a smell, a sound, or something visual?"</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Lori correctly detected the uncertainty signal and shifted to recognition-support mode. She normalized the difficulty (“That’s okay”), offered three concrete sensory anchors (smell, sound, visual), and avoided any recall-test phrasing. No “Do you remember…?” present. Response reduced cognitive pressure rather than increasing it.</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bl>
    <w:p>
      <w:pPr>
        <w:spacing w:after="80"/>
      </w:pPr>
    </w:p>
    <w:p>
      <w:pPr>
        <w:spacing w:before="280" w:after="100"/>
      </w:pPr>
      <w:r>
        <w:rPr>
          <w:rFonts w:ascii="Arial" w:cs="Arial" w:eastAsia="Arial" w:hAnsi="Arial"/>
          <w:b/>
          <w:bCs/>
          <w:color w:val="2E4057"/>
          <w:sz w:val="22"/>
          <w:szCs w:val="22"/>
        </w:rPr>
        <w:t xml:space="preserve">Test 6 — High Fatigue / Gentle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Fatigue state injected via console: setLoriState('high_fatigue'). Badge confirmed “high_fatigue” before sending.</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 can keep going."</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Lori response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"You're willing to continue exploring your memories. As you look back on those early days, is there a particular room in your childhood home that stands out to you, somewhere you spent a lot of time or felt particularly happy or comfortable?"</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w:t>
            </w:r>
          </w:p>
        </w:tc>
        <w:tc>
          <w:tcPr>
            <w:tcW w:type="dxa" w:w="75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Notes</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fatigue state set via setLoriState(‘high_fatigue’) updated only the UI status badge — it did not propagate to the prompt composer. After the response was generated, the badge reverted to “Ready,” confirming the state was not persisted or read by the model directive layer. Lori’s response was full-length, detailed, and ended with a demanding scene question — no shortening, no pause offer, no tonal softening. Fatigue-aware behavior was absent entirely.</w:t>
            </w:r>
          </w:p>
        </w:tc>
      </w:tr>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 location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UI/runtime state bridge — fatigue state is not wired from setLoriState() to the prompt composer</w:t>
            </w:r>
          </w:p>
        </w:tc>
      </w:tr>
    </w:tbl>
    <w:p>
      <w:pPr>
        <w:spacing w:after="80"/>
      </w:pPr>
    </w:p>
    <w:p>
      <w:pPr>
        <w:spacing w:before="300" w:after="0"/>
      </w:pPr>
    </w:p>
    <w:p>
      <w:pPr>
        <w:spacing w:before="300" w:after="120"/>
      </w:pPr>
      <w:r>
        <w:rPr>
          <w:rFonts w:ascii="Arial" w:cs="Arial" w:eastAsia="Arial" w:hAnsi="Arial"/>
          <w:b/>
          <w:bCs/>
          <w:color w:val="2E4057"/>
          <w:sz w:val="26"/>
          <w:szCs w:val="26"/>
        </w:rPr>
        <w:t xml:space="preserve">Summary</w:t>
      </w:r>
    </w:p>
    <w:p>
      <w:pPr>
        <w:spacing w:after="200"/>
      </w:pPr>
      <w:r>
        <w:rPr>
          <w:rFonts w:ascii="Arial" w:cs="Arial" w:eastAsia="Arial" w:hAnsi="Arial"/>
          <w:sz w:val="20"/>
          <w:szCs w:val="20"/>
        </w:rPr>
        <w:t xml:space="preserve">Lorevox 7.1 demonstrated strong core behavioral compliance across five of six live scenarios. Pass 1 enforcement was clean and unambiguous — Lori correctly held the gate on missing timeline seed data. The DOB and birthplace trigger reliably initialized the timeline and shifted Lori into Pass 2A. Era switching was immediate and reflected in both the status badge and the prompt sent to the model. The Pass 2A/2B distinction is functional, with Chronological mode producing broad timeline questions and Thematic mode producing scene-specific prompts with age anchors, though Pass 2B’s scene directive could be sharpened to more consistently elicit a single vivid memory. Recognition-mode behavior was the standout result: Lori smoothly detected cognitive difficulty and responded with sensory anchors and zero recall-pressure language. The single failing area was fatigue-aware behavior, where the runtime state bridge between the UI state setter and the prompt composer is not wired — meaning high-fatigue directives do not reach the model. This is a high-priority defect that needs remediation before the fatigue feature can be considered functional.</w:t>
      </w:r>
    </w:p>
    <w:p>
      <w:pPr>
        <w:spacing w:before="300" w:after="120"/>
      </w:pPr>
      <w:r>
        <w:rPr>
          <w:rFonts w:ascii="Arial" w:cs="Arial" w:eastAsia="Arial" w:hAnsi="Arial"/>
          <w:b/>
          <w:bCs/>
          <w:color w:val="2E4057"/>
          <w:sz w:val="26"/>
          <w:szCs w:val="26"/>
        </w:rPr>
        <w:t xml:space="preserve">Defects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Defect</w:t>
            </w:r>
          </w:p>
        </w:tc>
        <w:tc>
          <w:tcPr>
            <w:tcW w:type="dxa" w:w="1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Severity</w:t>
            </w:r>
          </w:p>
        </w:tc>
        <w:tc>
          <w:tcPr>
            <w:tcW w:type="dxa" w:w="456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Likely source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Fatigue state not wired to prompt composer</w:t>
            </w:r>
          </w:p>
        </w:tc>
        <w:tc>
          <w:tcPr>
            <w:tcW w:type="dxa" w:w="12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UI/runtime state bridge — setLoriState() string form sets badge only, does not inject into prompt directive layer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 2B scene prompt slightly weak — “typical morning” framing vs. single vivid moment</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composer wording — Pass 2B directive could be tightened to demand a specific scene</w:t>
            </w:r>
          </w:p>
        </w:tc>
      </w:tr>
    </w:tbl>
    <w:p>
      <w:pPr>
        <w:spacing w:after="200"/>
      </w:pPr>
    </w:p>
    <w:p>
      <w:pPr>
        <w:spacing w:before="300" w:after="120"/>
      </w:pPr>
      <w:r>
        <w:rPr>
          <w:rFonts w:ascii="Arial" w:cs="Arial" w:eastAsia="Arial" w:hAnsi="Arial"/>
          <w:b/>
          <w:bCs/>
          <w:color w:val="2E4057"/>
          <w:sz w:val="26"/>
          <w:szCs w:val="26"/>
        </w:rPr>
        <w:t xml:space="preserve">Recommended Next Steps</w:t>
      </w:r>
    </w:p>
    <w:p>
      <w:pPr>
        <w:pStyle w:val="ListParagraph"/>
        <w:numPr>
          <w:ilvl w:val="0"/>
          <w:numId w:val="2"/>
        </w:numPr>
        <w:spacing w:after="80"/>
      </w:pPr>
      <w:r>
        <w:rPr>
          <w:rFonts w:ascii="Arial" w:cs="Arial" w:eastAsia="Arial" w:hAnsi="Arial"/>
          <w:sz w:val="20"/>
          <w:szCs w:val="20"/>
        </w:rPr>
        <w:t xml:space="preserve">Fix fatigue state wiring — ensure setLoriState() (or equivalent) propagates to the prompt composer directive block, not just the UI badge. Verify by re-running Test 6 after the fix.</w:t>
      </w:r>
    </w:p>
    <w:p>
      <w:pPr>
        <w:pStyle w:val="ListParagraph"/>
        <w:numPr>
          <w:ilvl w:val="0"/>
          <w:numId w:val="2"/>
        </w:numPr>
        <w:spacing w:after="80"/>
      </w:pPr>
      <w:r>
        <w:rPr>
          <w:rFonts w:ascii="Arial" w:cs="Arial" w:eastAsia="Arial" w:hAnsi="Arial"/>
          <w:sz w:val="20"/>
          <w:szCs w:val="20"/>
        </w:rPr>
        <w:t xml:space="preserve">Confirm the correct API for runtime state injection — document whether fatigue is passed as a structured object, a named constant, or a session property so future test runs can set it reliably.</w:t>
      </w:r>
    </w:p>
    <w:p>
      <w:pPr>
        <w:pStyle w:val="ListParagraph"/>
        <w:numPr>
          <w:ilvl w:val="0"/>
          <w:numId w:val="2"/>
        </w:numPr>
        <w:spacing w:after="80"/>
      </w:pPr>
      <w:r>
        <w:rPr>
          <w:rFonts w:ascii="Arial" w:cs="Arial" w:eastAsia="Arial" w:hAnsi="Arial"/>
          <w:sz w:val="20"/>
          <w:szCs w:val="20"/>
        </w:rPr>
        <w:t xml:space="preserve">Tighten Pass 2B scene directive — revise the thematic-mode prompt wording to more explicitly request a single, specific memory rather than allowing “typical” or habitual framing.</w:t>
      </w:r>
    </w:p>
    <w:p>
      <w:pPr>
        <w:pStyle w:val="ListParagraph"/>
        <w:numPr>
          <w:ilvl w:val="0"/>
          <w:numId w:val="2"/>
        </w:numPr>
        <w:spacing w:after="80"/>
      </w:pPr>
      <w:r>
        <w:rPr>
          <w:rFonts w:ascii="Arial" w:cs="Arial" w:eastAsia="Arial" w:hAnsi="Arial"/>
          <w:sz w:val="20"/>
          <w:szCs w:val="20"/>
        </w:rPr>
        <w:t xml:space="preserve">Re-run Test 6 in isolation after the fatigue fix and verify: shortened response length, softened tone, and an explicit pause/rest offer when the session fatigue level is high.</w:t>
      </w:r>
    </w:p>
    <w:p>
      <w:pPr>
        <w:pStyle w:val="ListParagraph"/>
        <w:numPr>
          <w:ilvl w:val="0"/>
          <w:numId w:val="2"/>
        </w:numPr>
        <w:spacing w:after="80"/>
      </w:pPr>
      <w:r>
        <w:rPr>
          <w:rFonts w:ascii="Arial" w:cs="Arial" w:eastAsia="Arial" w:hAnsi="Arial"/>
          <w:sz w:val="20"/>
          <w:szCs w:val="20"/>
        </w:rPr>
        <w:t xml:space="preserve">Add the optional emotional difficulty add-on (Add-on A) to the next validation run — recognition-mode performance suggests it will pass, but it has not yet been formally verified.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jc w:val="right"/>
    </w:pPr>
    <w:r>
      <w:rPr>
        <w:rFonts w:ascii="Arial" w:cs="Arial" w:eastAsia="Arial" w:hAnsi="Arial"/>
        <w:color w:val="888888"/>
        <w:sz w:val="16"/>
        <w:szCs w:val="16"/>
      </w:rPr>
      <w:t xml:space="preserve">Lorevox 7.1 — Live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2026-03-19T19:38:11.572Z</dcterms:created>
  <dcterms:modified xsi:type="dcterms:W3CDTF">2026-03-19T19:38:11.572Z</dcterms:modified>
</cp:coreProperties>
</file>

<file path=docProps/custom.xml><?xml version="1.0" encoding="utf-8"?>
<Properties xmlns="http://schemas.openxmlformats.org/officeDocument/2006/custom-properties" xmlns:vt="http://schemas.openxmlformats.org/officeDocument/2006/docPropsVTypes"/>
</file>